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B6176" w14:textId="77777777" w:rsidR="009E1FF2" w:rsidRDefault="002A492B">
      <w:pPr>
        <w:spacing w:before="73"/>
        <w:ind w:left="565" w:right="282"/>
        <w:jc w:val="center"/>
        <w:rPr>
          <w:b/>
          <w:sz w:val="24"/>
        </w:rPr>
      </w:pPr>
      <w:r>
        <w:rPr>
          <w:b/>
          <w:sz w:val="24"/>
        </w:rPr>
        <w:t>ADIYAMAN</w:t>
      </w:r>
      <w:r>
        <w:rPr>
          <w:b/>
          <w:spacing w:val="-6"/>
          <w:sz w:val="24"/>
        </w:rPr>
        <w:t xml:space="preserve"> </w:t>
      </w:r>
      <w:r>
        <w:rPr>
          <w:b/>
          <w:spacing w:val="-2"/>
          <w:sz w:val="24"/>
        </w:rPr>
        <w:t>ÜNİVERSİTESİ</w:t>
      </w:r>
    </w:p>
    <w:p w14:paraId="6A56EA45" w14:textId="7C14A45C" w:rsidR="009E1FF2" w:rsidRDefault="002A492B">
      <w:pPr>
        <w:spacing w:before="183"/>
        <w:ind w:left="564" w:right="282"/>
        <w:jc w:val="center"/>
        <w:rPr>
          <w:b/>
          <w:sz w:val="24"/>
        </w:rPr>
      </w:pPr>
      <w:r>
        <w:rPr>
          <w:b/>
          <w:sz w:val="24"/>
        </w:rPr>
        <w:t>ÖN</w:t>
      </w:r>
      <w:r>
        <w:rPr>
          <w:b/>
          <w:spacing w:val="-4"/>
          <w:sz w:val="24"/>
        </w:rPr>
        <w:t xml:space="preserve"> </w:t>
      </w:r>
      <w:r>
        <w:rPr>
          <w:b/>
          <w:sz w:val="24"/>
        </w:rPr>
        <w:t>LİSANS</w:t>
      </w:r>
      <w:r>
        <w:rPr>
          <w:b/>
          <w:spacing w:val="-2"/>
          <w:sz w:val="24"/>
        </w:rPr>
        <w:t xml:space="preserve"> </w:t>
      </w:r>
      <w:r>
        <w:rPr>
          <w:b/>
          <w:sz w:val="24"/>
        </w:rPr>
        <w:t>VE</w:t>
      </w:r>
      <w:r>
        <w:rPr>
          <w:b/>
          <w:spacing w:val="-2"/>
          <w:sz w:val="24"/>
        </w:rPr>
        <w:t xml:space="preserve"> </w:t>
      </w:r>
      <w:r>
        <w:rPr>
          <w:b/>
          <w:sz w:val="24"/>
        </w:rPr>
        <w:t xml:space="preserve">LİSANS </w:t>
      </w:r>
      <w:r w:rsidR="00500DD1">
        <w:rPr>
          <w:b/>
          <w:sz w:val="24"/>
        </w:rPr>
        <w:t>MUAFİYET VE İNTİBAK</w:t>
      </w:r>
      <w:r>
        <w:rPr>
          <w:b/>
          <w:spacing w:val="-3"/>
          <w:sz w:val="24"/>
        </w:rPr>
        <w:t xml:space="preserve"> </w:t>
      </w:r>
      <w:r>
        <w:rPr>
          <w:b/>
          <w:spacing w:val="-2"/>
          <w:sz w:val="24"/>
        </w:rPr>
        <w:t>YÖNERGESİ</w:t>
      </w:r>
    </w:p>
    <w:p w14:paraId="236651C7" w14:textId="77777777" w:rsidR="009E1FF2" w:rsidRDefault="009E1FF2">
      <w:pPr>
        <w:pStyle w:val="GvdeMetni"/>
        <w:rPr>
          <w:b/>
        </w:rPr>
      </w:pPr>
    </w:p>
    <w:p w14:paraId="111237FD" w14:textId="77777777" w:rsidR="009E1FF2" w:rsidRDefault="002A492B">
      <w:pPr>
        <w:ind w:left="567" w:right="282"/>
        <w:jc w:val="center"/>
        <w:rPr>
          <w:b/>
          <w:sz w:val="24"/>
        </w:rPr>
      </w:pPr>
      <w:r>
        <w:rPr>
          <w:b/>
          <w:sz w:val="24"/>
        </w:rPr>
        <w:t>BİRİNCİ</w:t>
      </w:r>
      <w:r>
        <w:rPr>
          <w:b/>
          <w:spacing w:val="-6"/>
          <w:sz w:val="24"/>
        </w:rPr>
        <w:t xml:space="preserve"> </w:t>
      </w:r>
      <w:r>
        <w:rPr>
          <w:b/>
          <w:spacing w:val="-2"/>
          <w:sz w:val="24"/>
        </w:rPr>
        <w:t>BÖLÜM</w:t>
      </w:r>
    </w:p>
    <w:p w14:paraId="02FA8DAD" w14:textId="77777777" w:rsidR="009E1FF2" w:rsidRDefault="002A492B">
      <w:pPr>
        <w:pStyle w:val="Balk1"/>
        <w:spacing w:before="182"/>
        <w:ind w:left="566" w:right="282"/>
        <w:jc w:val="center"/>
      </w:pPr>
      <w:r>
        <w:t>Amaç,</w:t>
      </w:r>
      <w:r>
        <w:rPr>
          <w:spacing w:val="-2"/>
        </w:rPr>
        <w:t xml:space="preserve"> </w:t>
      </w:r>
      <w:r>
        <w:t>Kapsam,</w:t>
      </w:r>
      <w:r>
        <w:rPr>
          <w:spacing w:val="-2"/>
        </w:rPr>
        <w:t xml:space="preserve"> </w:t>
      </w:r>
      <w:r>
        <w:t>Dayanak</w:t>
      </w:r>
      <w:r>
        <w:rPr>
          <w:spacing w:val="-2"/>
        </w:rPr>
        <w:t xml:space="preserve"> </w:t>
      </w:r>
      <w:r>
        <w:t>ve</w:t>
      </w:r>
      <w:r>
        <w:rPr>
          <w:spacing w:val="-2"/>
        </w:rPr>
        <w:t xml:space="preserve"> Tanımlar</w:t>
      </w:r>
    </w:p>
    <w:p w14:paraId="369F233E" w14:textId="77777777" w:rsidR="009E1FF2" w:rsidRDefault="002A492B" w:rsidP="007C6457">
      <w:pPr>
        <w:spacing w:before="1"/>
        <w:ind w:firstLine="720"/>
        <w:rPr>
          <w:b/>
          <w:sz w:val="24"/>
        </w:rPr>
      </w:pPr>
      <w:r>
        <w:rPr>
          <w:b/>
          <w:spacing w:val="-4"/>
          <w:sz w:val="24"/>
        </w:rPr>
        <w:t>Amaç</w:t>
      </w:r>
    </w:p>
    <w:p w14:paraId="37B4B70E" w14:textId="4C82B907" w:rsidR="009E1FF2" w:rsidRDefault="002A492B" w:rsidP="007C6457">
      <w:pPr>
        <w:pStyle w:val="GvdeMetni"/>
        <w:spacing w:before="242" w:line="360" w:lineRule="auto"/>
        <w:ind w:left="720" w:right="112"/>
        <w:jc w:val="both"/>
      </w:pPr>
      <w:r>
        <w:rPr>
          <w:b/>
        </w:rPr>
        <w:t>MADDE 1</w:t>
      </w:r>
      <w:r>
        <w:t xml:space="preserve">- </w:t>
      </w:r>
      <w:r w:rsidR="00B00CBF" w:rsidRPr="00B00CBF">
        <w:t xml:space="preserve">Bu yönergenin amacı, </w:t>
      </w:r>
      <w:r w:rsidR="00B00CBF">
        <w:t>Adıyaman</w:t>
      </w:r>
      <w:r w:rsidR="00B00CBF" w:rsidRPr="00B00CBF">
        <w:t xml:space="preserve"> Üniversitesine </w:t>
      </w:r>
      <w:r w:rsidR="005B7C14">
        <w:t xml:space="preserve">yeni </w:t>
      </w:r>
      <w:r w:rsidR="00B00CBF" w:rsidRPr="00B00CBF">
        <w:t>kayıt yaptıran ön lisans ve lisans öğrencilerinin</w:t>
      </w:r>
      <w:r w:rsidR="005B7C14">
        <w:t xml:space="preserve"> (Tıp ve Diş Hekimliği Fakültesi hariç)</w:t>
      </w:r>
      <w:r w:rsidR="00B00CBF" w:rsidRPr="00B00CBF">
        <w:t>, daha önce Yükseköğretim Kurulu Başkanlığınca tanınan veya denkliği kabul edilen herhangi bir yükseköğretim kurumundan alarak başarılı oldukları derslere ilişkin muafiyet ve intibak esaslarını düzenlemektir.</w:t>
      </w:r>
    </w:p>
    <w:p w14:paraId="2ADF5979" w14:textId="77777777" w:rsidR="009E1FF2" w:rsidRDefault="002A492B" w:rsidP="007C6457">
      <w:pPr>
        <w:pStyle w:val="Balk1"/>
        <w:ind w:left="0" w:firstLine="720"/>
      </w:pPr>
      <w:r>
        <w:rPr>
          <w:spacing w:val="-2"/>
        </w:rPr>
        <w:t>Kapsam</w:t>
      </w:r>
    </w:p>
    <w:p w14:paraId="7DE8E1FC" w14:textId="77777777" w:rsidR="00B00CBF" w:rsidRDefault="00B00CBF" w:rsidP="00B00CBF">
      <w:pPr>
        <w:pStyle w:val="GvdeMetni"/>
        <w:spacing w:before="84" w:line="360" w:lineRule="auto"/>
        <w:ind w:left="720"/>
        <w:rPr>
          <w:bCs/>
        </w:rPr>
      </w:pPr>
      <w:r w:rsidRPr="00B00CBF">
        <w:rPr>
          <w:b/>
        </w:rPr>
        <w:t>MADDE 2-</w:t>
      </w:r>
      <w:r w:rsidRPr="00B00CBF">
        <w:rPr>
          <w:bCs/>
        </w:rPr>
        <w:t xml:space="preserve"> (1) Bu Yönerge;</w:t>
      </w:r>
    </w:p>
    <w:p w14:paraId="2D6CC1EA" w14:textId="77777777" w:rsidR="00B00CBF" w:rsidRDefault="00B00CBF" w:rsidP="00B00CBF">
      <w:pPr>
        <w:pStyle w:val="GvdeMetni"/>
        <w:spacing w:before="84" w:line="360" w:lineRule="auto"/>
        <w:ind w:left="720"/>
        <w:jc w:val="both"/>
        <w:rPr>
          <w:bCs/>
        </w:rPr>
      </w:pPr>
      <w:r w:rsidRPr="00B00CBF">
        <w:rPr>
          <w:bCs/>
        </w:rPr>
        <w:t xml:space="preserve"> a) Yatay/dikey geçiş yaparak veya af kanunundan yararlanarak</w:t>
      </w:r>
      <w:r>
        <w:rPr>
          <w:bCs/>
        </w:rPr>
        <w:t xml:space="preserve"> </w:t>
      </w:r>
      <w:r w:rsidRPr="00B00CBF">
        <w:rPr>
          <w:bCs/>
        </w:rPr>
        <w:t xml:space="preserve">öğrenimlerine devam etmek isteyen öğrencilerin, </w:t>
      </w:r>
    </w:p>
    <w:p w14:paraId="2E470996" w14:textId="6F6B90D0" w:rsidR="00B00CBF" w:rsidRDefault="00B00CBF" w:rsidP="00B00CBF">
      <w:pPr>
        <w:pStyle w:val="GvdeMetni"/>
        <w:spacing w:before="84" w:line="360" w:lineRule="auto"/>
        <w:ind w:left="720"/>
        <w:jc w:val="both"/>
        <w:rPr>
          <w:bCs/>
        </w:rPr>
      </w:pPr>
      <w:r w:rsidRPr="00B00CBF">
        <w:rPr>
          <w:bCs/>
        </w:rPr>
        <w:t xml:space="preserve">b) Daha önce herhangi bir yükseköğretim </w:t>
      </w:r>
      <w:r w:rsidRPr="00C55048">
        <w:rPr>
          <w:bCs/>
        </w:rPr>
        <w:t>kurumunda</w:t>
      </w:r>
      <w:r w:rsidR="00007EBA" w:rsidRPr="00C55048">
        <w:rPr>
          <w:bCs/>
        </w:rPr>
        <w:t>n ayrılan</w:t>
      </w:r>
      <w:r w:rsidRPr="00C55048">
        <w:rPr>
          <w:bCs/>
        </w:rPr>
        <w:t xml:space="preserve"> öğrenc</w:t>
      </w:r>
      <w:r w:rsidR="009D0380" w:rsidRPr="00C55048">
        <w:rPr>
          <w:bCs/>
        </w:rPr>
        <w:t>i</w:t>
      </w:r>
      <w:r w:rsidRPr="00C55048">
        <w:rPr>
          <w:bCs/>
        </w:rPr>
        <w:t xml:space="preserve"> </w:t>
      </w:r>
      <w:r w:rsidRPr="00B00CBF">
        <w:rPr>
          <w:bCs/>
        </w:rPr>
        <w:t xml:space="preserve">veya mezun iken </w:t>
      </w:r>
      <w:r>
        <w:rPr>
          <w:bCs/>
        </w:rPr>
        <w:t>Adıyaman</w:t>
      </w:r>
      <w:r w:rsidRPr="00B00CBF">
        <w:rPr>
          <w:bCs/>
        </w:rPr>
        <w:t xml:space="preserve"> Üniversitesine</w:t>
      </w:r>
      <w:r w:rsidR="005B7C14">
        <w:rPr>
          <w:bCs/>
        </w:rPr>
        <w:t xml:space="preserve"> yeni</w:t>
      </w:r>
      <w:r w:rsidRPr="00B00CBF">
        <w:rPr>
          <w:bCs/>
        </w:rPr>
        <w:t xml:space="preserve"> kayıt yaptırmaya hak kazanan</w:t>
      </w:r>
      <w:r>
        <w:rPr>
          <w:bCs/>
        </w:rPr>
        <w:t xml:space="preserve"> öğrencilerin</w:t>
      </w:r>
      <w:r w:rsidRPr="00B00CBF">
        <w:rPr>
          <w:bCs/>
        </w:rPr>
        <w:t xml:space="preserve">, </w:t>
      </w:r>
    </w:p>
    <w:p w14:paraId="35AE845A" w14:textId="11499A09" w:rsidR="00B00CBF" w:rsidRDefault="00B00CBF" w:rsidP="00B00CBF">
      <w:pPr>
        <w:pStyle w:val="GvdeMetni"/>
        <w:spacing w:before="84" w:line="360" w:lineRule="auto"/>
        <w:ind w:left="720"/>
        <w:jc w:val="both"/>
        <w:rPr>
          <w:bCs/>
        </w:rPr>
      </w:pPr>
      <w:r w:rsidRPr="00B00CBF">
        <w:rPr>
          <w:bCs/>
        </w:rPr>
        <w:t xml:space="preserve">c) </w:t>
      </w:r>
      <w:r>
        <w:rPr>
          <w:bCs/>
        </w:rPr>
        <w:t>Adıyaman</w:t>
      </w:r>
      <w:r w:rsidRPr="00B00CBF">
        <w:rPr>
          <w:bCs/>
        </w:rPr>
        <w:t xml:space="preserve"> Üniversitesi programlarından birinde kayıtlı bulunan öğrencilerden, Yükseköğretim Kurulu (YÖK) tarafından denkliği kabul edilen başka bir yükseköğretim kurumunun programlarında özel öğrenci statüsünde ders alan ve ulusal ve uluslararası değişim programları ile yurt dışında öğrenim gören öğrencilerin, </w:t>
      </w:r>
    </w:p>
    <w:p w14:paraId="7F25E8CD" w14:textId="2A4700CA" w:rsidR="009E1FF2" w:rsidRPr="00B00CBF" w:rsidRDefault="00B00CBF" w:rsidP="00A91C9C">
      <w:pPr>
        <w:pStyle w:val="GvdeMetni"/>
        <w:spacing w:before="84" w:line="360" w:lineRule="auto"/>
        <w:ind w:left="720"/>
        <w:rPr>
          <w:bCs/>
        </w:rPr>
      </w:pPr>
      <w:r w:rsidRPr="00B00CBF">
        <w:rPr>
          <w:bCs/>
        </w:rPr>
        <w:t>ç) Yukarıda belirtilen veya benzeri durumda olup öğrenimlerine devam edecek öğrencilerin, daha önce alıp başarılı oldukları derslerden muafiyetleri ve intibakları ile ilgili işlemleri kapsar.</w:t>
      </w:r>
    </w:p>
    <w:p w14:paraId="6C6101DF" w14:textId="77777777" w:rsidR="009E1FF2" w:rsidRDefault="002A492B" w:rsidP="007C6457">
      <w:pPr>
        <w:pStyle w:val="Balk1"/>
        <w:ind w:left="0" w:firstLine="720"/>
      </w:pPr>
      <w:r>
        <w:rPr>
          <w:spacing w:val="-2"/>
        </w:rPr>
        <w:t>Dayanak</w:t>
      </w:r>
    </w:p>
    <w:p w14:paraId="0A3EB3FD" w14:textId="66C93FDD" w:rsidR="009E1FF2" w:rsidRDefault="002A492B" w:rsidP="007C6457">
      <w:pPr>
        <w:pStyle w:val="GvdeMetni"/>
        <w:spacing w:before="238" w:line="360" w:lineRule="auto"/>
        <w:ind w:left="720" w:right="116"/>
        <w:jc w:val="both"/>
      </w:pPr>
      <w:r>
        <w:rPr>
          <w:b/>
        </w:rPr>
        <w:t>MADDE 3</w:t>
      </w:r>
      <w:r>
        <w:t xml:space="preserve">- </w:t>
      </w:r>
      <w:r w:rsidR="00B00CBF" w:rsidRPr="00B00CBF">
        <w:t xml:space="preserve">Bu yönerge; 2547 sayılı Yükseköğretim Kanunu ve </w:t>
      </w:r>
      <w:r w:rsidR="00B00CBF">
        <w:t xml:space="preserve">Adıyaman </w:t>
      </w:r>
      <w:r w:rsidR="00B00CBF" w:rsidRPr="00B00CBF">
        <w:t>Üniversitesi Ön</w:t>
      </w:r>
      <w:r w:rsidR="00B00CBF">
        <w:t xml:space="preserve"> </w:t>
      </w:r>
      <w:r w:rsidR="00B00CBF" w:rsidRPr="00B00CBF">
        <w:t>lisans ve Lisans Eğitim</w:t>
      </w:r>
      <w:r w:rsidR="00B00CBF">
        <w:t>-</w:t>
      </w:r>
      <w:r w:rsidR="00B00CBF" w:rsidRPr="00B00CBF">
        <w:t>Öğretim ve Sınav Yönetmeliği hükümlerine dayanılarak hazırlanmıştır.</w:t>
      </w:r>
    </w:p>
    <w:p w14:paraId="228BA6F0" w14:textId="77777777" w:rsidR="009E1FF2" w:rsidRDefault="002A492B" w:rsidP="007C6457">
      <w:pPr>
        <w:pStyle w:val="Balk1"/>
        <w:spacing w:line="360" w:lineRule="auto"/>
        <w:ind w:left="0" w:firstLine="720"/>
      </w:pPr>
      <w:r>
        <w:rPr>
          <w:spacing w:val="-2"/>
        </w:rPr>
        <w:t>Tanımlar</w:t>
      </w:r>
    </w:p>
    <w:p w14:paraId="10588356" w14:textId="77777777" w:rsidR="007C6457" w:rsidRDefault="00B00CBF" w:rsidP="007C6457">
      <w:pPr>
        <w:spacing w:line="360" w:lineRule="auto"/>
        <w:ind w:firstLine="720"/>
        <w:jc w:val="both"/>
        <w:rPr>
          <w:bCs/>
          <w:sz w:val="24"/>
        </w:rPr>
      </w:pPr>
      <w:r w:rsidRPr="00B00CBF">
        <w:rPr>
          <w:b/>
          <w:sz w:val="24"/>
        </w:rPr>
        <w:t>MADDE 4-</w:t>
      </w:r>
      <w:r w:rsidRPr="00B00CBF">
        <w:rPr>
          <w:bCs/>
          <w:sz w:val="24"/>
        </w:rPr>
        <w:t xml:space="preserve"> (1) Bu Yönergede geçen; </w:t>
      </w:r>
    </w:p>
    <w:p w14:paraId="2B5258FE" w14:textId="7C8BC5B6" w:rsidR="007C6457" w:rsidRDefault="00B00CBF" w:rsidP="007C6457">
      <w:pPr>
        <w:spacing w:line="360" w:lineRule="auto"/>
        <w:ind w:firstLine="720"/>
        <w:jc w:val="both"/>
        <w:rPr>
          <w:bCs/>
          <w:sz w:val="24"/>
        </w:rPr>
      </w:pPr>
      <w:r w:rsidRPr="00B00CBF">
        <w:rPr>
          <w:bCs/>
          <w:sz w:val="24"/>
        </w:rPr>
        <w:t xml:space="preserve">a) GNO: Genel Not Ortalamasını, </w:t>
      </w:r>
    </w:p>
    <w:p w14:paraId="7D7BD74A" w14:textId="3E04C9AD" w:rsidR="007C6457" w:rsidRDefault="00B00CBF" w:rsidP="007C6457">
      <w:pPr>
        <w:spacing w:line="360" w:lineRule="auto"/>
        <w:ind w:firstLine="720"/>
        <w:jc w:val="both"/>
        <w:rPr>
          <w:bCs/>
          <w:sz w:val="24"/>
        </w:rPr>
      </w:pPr>
      <w:r w:rsidRPr="00B00CBF">
        <w:rPr>
          <w:bCs/>
          <w:sz w:val="24"/>
        </w:rPr>
        <w:t>b) AKTS: Avrupa Kredi Transfer Sistem</w:t>
      </w:r>
      <w:r w:rsidR="00A91C9C">
        <w:rPr>
          <w:bCs/>
          <w:sz w:val="24"/>
        </w:rPr>
        <w:t>ini,</w:t>
      </w:r>
    </w:p>
    <w:p w14:paraId="5FDB8E39" w14:textId="37B810D2" w:rsidR="007C6457" w:rsidRDefault="00B00CBF" w:rsidP="007C6457">
      <w:pPr>
        <w:spacing w:line="360" w:lineRule="auto"/>
        <w:ind w:left="720"/>
        <w:jc w:val="both"/>
        <w:rPr>
          <w:bCs/>
          <w:sz w:val="24"/>
        </w:rPr>
      </w:pPr>
      <w:r w:rsidRPr="00B00CBF">
        <w:rPr>
          <w:bCs/>
          <w:sz w:val="24"/>
        </w:rPr>
        <w:t>c)</w:t>
      </w:r>
      <w:r w:rsidR="00A91C9C">
        <w:rPr>
          <w:bCs/>
          <w:sz w:val="24"/>
        </w:rPr>
        <w:t xml:space="preserve"> </w:t>
      </w:r>
      <w:r w:rsidRPr="00B00CBF">
        <w:rPr>
          <w:bCs/>
          <w:sz w:val="24"/>
        </w:rPr>
        <w:t xml:space="preserve">Birim: </w:t>
      </w:r>
      <w:bookmarkStart w:id="0" w:name="_Hlk176853356"/>
      <w:r w:rsidR="007C6457">
        <w:rPr>
          <w:bCs/>
          <w:sz w:val="24"/>
        </w:rPr>
        <w:t>Adıyaman</w:t>
      </w:r>
      <w:bookmarkEnd w:id="0"/>
      <w:r w:rsidRPr="00B00CBF">
        <w:rPr>
          <w:bCs/>
          <w:sz w:val="24"/>
        </w:rPr>
        <w:t xml:space="preserve"> Üniversitesine bağlı fakülte, yüksekokul, </w:t>
      </w:r>
      <w:r w:rsidR="00A91C9C">
        <w:rPr>
          <w:bCs/>
          <w:sz w:val="24"/>
        </w:rPr>
        <w:t xml:space="preserve">devlet </w:t>
      </w:r>
      <w:r w:rsidRPr="00B00CBF">
        <w:rPr>
          <w:bCs/>
          <w:sz w:val="24"/>
        </w:rPr>
        <w:t>konservatuar</w:t>
      </w:r>
      <w:r w:rsidR="00A91C9C">
        <w:rPr>
          <w:bCs/>
          <w:sz w:val="24"/>
        </w:rPr>
        <w:t>ı</w:t>
      </w:r>
      <w:r w:rsidRPr="00B00CBF">
        <w:rPr>
          <w:bCs/>
          <w:sz w:val="24"/>
        </w:rPr>
        <w:t xml:space="preserve"> ve meslek yüksekokullarını, </w:t>
      </w:r>
    </w:p>
    <w:p w14:paraId="6D702D96" w14:textId="1AC6FC42" w:rsidR="007C6457" w:rsidRDefault="00B00CBF" w:rsidP="007C6457">
      <w:pPr>
        <w:spacing w:line="360" w:lineRule="auto"/>
        <w:ind w:left="720"/>
        <w:jc w:val="both"/>
        <w:rPr>
          <w:bCs/>
          <w:sz w:val="24"/>
        </w:rPr>
      </w:pPr>
      <w:r w:rsidRPr="00B00CBF">
        <w:rPr>
          <w:bCs/>
          <w:sz w:val="24"/>
        </w:rPr>
        <w:t xml:space="preserve">ç) İntibak İşlemi: </w:t>
      </w:r>
      <w:r w:rsidR="007C6457">
        <w:rPr>
          <w:bCs/>
          <w:sz w:val="24"/>
        </w:rPr>
        <w:t>Adıyaman</w:t>
      </w:r>
      <w:r w:rsidRPr="00B00CBF">
        <w:rPr>
          <w:bCs/>
          <w:sz w:val="24"/>
        </w:rPr>
        <w:t xml:space="preserve"> Üniversitesine kayıt hakkı kazanan öğrencilerin daha önce </w:t>
      </w:r>
      <w:r w:rsidR="007C6457">
        <w:rPr>
          <w:bCs/>
          <w:sz w:val="24"/>
        </w:rPr>
        <w:t>Adıyaman</w:t>
      </w:r>
      <w:r w:rsidRPr="00B00CBF">
        <w:rPr>
          <w:bCs/>
          <w:sz w:val="24"/>
        </w:rPr>
        <w:t xml:space="preserve"> Üniversitesi dâhil herhangi bir yükseköğretim kurumundan alıp başardıkları ve muaf sayıldıkları derslere göre devam edecekleri yılı belirleme işlemini, </w:t>
      </w:r>
    </w:p>
    <w:p w14:paraId="0BF78AE7" w14:textId="77777777" w:rsidR="007C6457" w:rsidRDefault="00B00CBF" w:rsidP="007C6457">
      <w:pPr>
        <w:spacing w:line="360" w:lineRule="auto"/>
        <w:ind w:left="720"/>
        <w:jc w:val="both"/>
        <w:rPr>
          <w:bCs/>
          <w:sz w:val="24"/>
        </w:rPr>
      </w:pPr>
      <w:r w:rsidRPr="00B00CBF">
        <w:rPr>
          <w:bCs/>
          <w:sz w:val="24"/>
        </w:rPr>
        <w:t xml:space="preserve">d) Komisyon: İlgili dekanlık/müdürlük onayıyla diploma programlarında oluşturulan, muafiyet </w:t>
      </w:r>
      <w:r w:rsidRPr="00B00CBF">
        <w:rPr>
          <w:bCs/>
          <w:sz w:val="24"/>
        </w:rPr>
        <w:lastRenderedPageBreak/>
        <w:t xml:space="preserve">ve intibak taleplerinin incelendiği en az üç öğretim elemanından oluşan muafiyet, geçiş ve intibak komisyonunu, </w:t>
      </w:r>
    </w:p>
    <w:p w14:paraId="1B4DF55C" w14:textId="77777777" w:rsidR="007C6457" w:rsidRDefault="00B00CBF" w:rsidP="007C6457">
      <w:pPr>
        <w:spacing w:line="360" w:lineRule="auto"/>
        <w:ind w:left="720"/>
        <w:jc w:val="both"/>
        <w:rPr>
          <w:bCs/>
          <w:sz w:val="24"/>
        </w:rPr>
      </w:pPr>
      <w:r w:rsidRPr="00B00CBF">
        <w:rPr>
          <w:bCs/>
          <w:sz w:val="24"/>
        </w:rPr>
        <w:t xml:space="preserve">e) Muafiyet: Daha önce alınmış ve başarılmış ders/derslerin yerine, kredi ve içerik uyumuna göre o müfredatta bulunan ders/derslerin eşdeğerliğinin kabul edilmesini, </w:t>
      </w:r>
    </w:p>
    <w:p w14:paraId="2EA26BD1" w14:textId="77777777" w:rsidR="007C6457" w:rsidRDefault="00B00CBF" w:rsidP="007C6457">
      <w:pPr>
        <w:spacing w:line="360" w:lineRule="auto"/>
        <w:ind w:firstLine="720"/>
        <w:jc w:val="both"/>
        <w:rPr>
          <w:bCs/>
          <w:sz w:val="24"/>
        </w:rPr>
      </w:pPr>
      <w:r w:rsidRPr="00B00CBF">
        <w:rPr>
          <w:bCs/>
          <w:sz w:val="24"/>
        </w:rPr>
        <w:t xml:space="preserve">f) Program: Lisans ve ön lisans düzeyindeki diploma programını, </w:t>
      </w:r>
    </w:p>
    <w:p w14:paraId="64986D50" w14:textId="36C70F71" w:rsidR="007C6457" w:rsidRDefault="00B00CBF" w:rsidP="007C6457">
      <w:pPr>
        <w:spacing w:line="360" w:lineRule="auto"/>
        <w:ind w:firstLine="720"/>
        <w:jc w:val="both"/>
        <w:rPr>
          <w:bCs/>
          <w:sz w:val="24"/>
        </w:rPr>
      </w:pPr>
      <w:r w:rsidRPr="00B00CBF">
        <w:rPr>
          <w:bCs/>
          <w:sz w:val="24"/>
        </w:rPr>
        <w:t xml:space="preserve">g) Rektör: </w:t>
      </w:r>
      <w:r w:rsidR="007C6457">
        <w:rPr>
          <w:bCs/>
          <w:sz w:val="24"/>
        </w:rPr>
        <w:t>Adıyaman</w:t>
      </w:r>
      <w:r w:rsidR="007C6457" w:rsidRPr="00B00CBF">
        <w:rPr>
          <w:bCs/>
          <w:sz w:val="24"/>
        </w:rPr>
        <w:t xml:space="preserve"> </w:t>
      </w:r>
      <w:r w:rsidRPr="00B00CBF">
        <w:rPr>
          <w:bCs/>
          <w:sz w:val="24"/>
        </w:rPr>
        <w:t xml:space="preserve">Üniversitesi Rektörünü, </w:t>
      </w:r>
    </w:p>
    <w:p w14:paraId="4FD74E31" w14:textId="77777777" w:rsidR="009E1FF2" w:rsidRDefault="00B00CBF" w:rsidP="007C6457">
      <w:pPr>
        <w:spacing w:line="360" w:lineRule="auto"/>
        <w:ind w:firstLine="720"/>
        <w:jc w:val="both"/>
        <w:rPr>
          <w:bCs/>
          <w:sz w:val="24"/>
        </w:rPr>
      </w:pPr>
      <w:r w:rsidRPr="00B00CBF">
        <w:rPr>
          <w:bCs/>
          <w:sz w:val="24"/>
        </w:rPr>
        <w:t xml:space="preserve">ğ) Senato: </w:t>
      </w:r>
      <w:r w:rsidR="007C6457">
        <w:rPr>
          <w:bCs/>
          <w:sz w:val="24"/>
        </w:rPr>
        <w:t>Adıyaman</w:t>
      </w:r>
      <w:r w:rsidR="007C6457" w:rsidRPr="00B00CBF">
        <w:rPr>
          <w:bCs/>
          <w:sz w:val="24"/>
        </w:rPr>
        <w:t xml:space="preserve"> </w:t>
      </w:r>
      <w:r w:rsidRPr="00B00CBF">
        <w:rPr>
          <w:bCs/>
          <w:sz w:val="24"/>
        </w:rPr>
        <w:t>Üniversitesi Senatosunu,</w:t>
      </w:r>
    </w:p>
    <w:p w14:paraId="225B75C6" w14:textId="22CB8B60" w:rsidR="00A91C9C" w:rsidRDefault="00A91C9C" w:rsidP="007C6457">
      <w:pPr>
        <w:spacing w:line="360" w:lineRule="auto"/>
        <w:ind w:firstLine="720"/>
        <w:jc w:val="both"/>
        <w:rPr>
          <w:bCs/>
          <w:sz w:val="24"/>
        </w:rPr>
      </w:pPr>
      <w:proofErr w:type="gramStart"/>
      <w:r>
        <w:rPr>
          <w:bCs/>
          <w:sz w:val="24"/>
        </w:rPr>
        <w:t>ifade</w:t>
      </w:r>
      <w:proofErr w:type="gramEnd"/>
      <w:r>
        <w:rPr>
          <w:bCs/>
          <w:sz w:val="24"/>
        </w:rPr>
        <w:t xml:space="preserve"> eder.</w:t>
      </w:r>
    </w:p>
    <w:p w14:paraId="5FA90A75" w14:textId="589EF404" w:rsidR="007C6457" w:rsidRDefault="00095D5F" w:rsidP="00095D5F">
      <w:pPr>
        <w:spacing w:line="360" w:lineRule="auto"/>
        <w:jc w:val="center"/>
        <w:rPr>
          <w:b/>
          <w:sz w:val="24"/>
        </w:rPr>
      </w:pPr>
      <w:r w:rsidRPr="00095D5F">
        <w:rPr>
          <w:b/>
          <w:sz w:val="24"/>
        </w:rPr>
        <w:t>İKİNCİ BÖLÜM</w:t>
      </w:r>
    </w:p>
    <w:p w14:paraId="205BC9A4" w14:textId="77777777" w:rsidR="002A7682" w:rsidRDefault="002A7682" w:rsidP="00095D5F">
      <w:pPr>
        <w:spacing w:line="360" w:lineRule="auto"/>
        <w:jc w:val="center"/>
        <w:rPr>
          <w:b/>
          <w:sz w:val="24"/>
        </w:rPr>
      </w:pPr>
      <w:r>
        <w:rPr>
          <w:b/>
          <w:sz w:val="24"/>
        </w:rPr>
        <w:t xml:space="preserve">Başvuru Esasları, Başvuru Süresi, </w:t>
      </w:r>
    </w:p>
    <w:p w14:paraId="55483EF2" w14:textId="76A12D82" w:rsidR="002A7682" w:rsidRPr="00095D5F" w:rsidRDefault="002A7682" w:rsidP="00095D5F">
      <w:pPr>
        <w:spacing w:line="360" w:lineRule="auto"/>
        <w:jc w:val="center"/>
        <w:rPr>
          <w:b/>
          <w:sz w:val="24"/>
        </w:rPr>
      </w:pPr>
      <w:r>
        <w:rPr>
          <w:b/>
          <w:sz w:val="24"/>
        </w:rPr>
        <w:t>Muafiyet ve İntibak ile İlgili Hususlar</w:t>
      </w:r>
    </w:p>
    <w:p w14:paraId="7446D37F" w14:textId="77777777" w:rsidR="007C6457" w:rsidRPr="007C6457" w:rsidRDefault="007C6457" w:rsidP="007C6457">
      <w:pPr>
        <w:spacing w:line="360" w:lineRule="auto"/>
        <w:ind w:firstLine="720"/>
        <w:jc w:val="both"/>
        <w:rPr>
          <w:b/>
          <w:sz w:val="24"/>
        </w:rPr>
      </w:pPr>
      <w:r w:rsidRPr="007C6457">
        <w:rPr>
          <w:b/>
          <w:sz w:val="24"/>
        </w:rPr>
        <w:t xml:space="preserve">Başvuru esasları ve süresi </w:t>
      </w:r>
    </w:p>
    <w:p w14:paraId="36AB4483" w14:textId="4ED67546" w:rsidR="007C6457" w:rsidRDefault="007C6457" w:rsidP="007C6457">
      <w:pPr>
        <w:spacing w:line="360" w:lineRule="auto"/>
        <w:ind w:left="720"/>
        <w:jc w:val="both"/>
        <w:rPr>
          <w:bCs/>
          <w:sz w:val="24"/>
        </w:rPr>
      </w:pPr>
      <w:r w:rsidRPr="007C6457">
        <w:rPr>
          <w:b/>
          <w:sz w:val="24"/>
        </w:rPr>
        <w:t>MADDE 5-</w:t>
      </w:r>
      <w:r w:rsidRPr="007C6457">
        <w:rPr>
          <w:bCs/>
          <w:sz w:val="24"/>
        </w:rPr>
        <w:t xml:space="preserve"> (1) Üniversiteye kayıt hakkı kazanan öğrencilerin, daha önce mezun olduğu veya ilişik kestiği</w:t>
      </w:r>
      <w:r>
        <w:rPr>
          <w:bCs/>
          <w:sz w:val="24"/>
        </w:rPr>
        <w:t xml:space="preserve"> </w:t>
      </w:r>
      <w:r w:rsidRPr="007C6457">
        <w:rPr>
          <w:bCs/>
          <w:sz w:val="24"/>
        </w:rPr>
        <w:t>yükseköğretim kurumunda başarılı oldukları derslerden muaf olabilmeleri ve diğer yükseköğretim kurumlarından alınan derslerin geçer notlarının muaf olarak değerlendirilebilmesi için, bölüm başkanlığına muafiyet istedikleri dersleri belirten bir dilekçe ile başvurma</w:t>
      </w:r>
      <w:r w:rsidR="00AE1BF6">
        <w:rPr>
          <w:bCs/>
          <w:sz w:val="24"/>
        </w:rPr>
        <w:t>ları</w:t>
      </w:r>
      <w:r w:rsidRPr="007C6457">
        <w:rPr>
          <w:bCs/>
          <w:sz w:val="24"/>
        </w:rPr>
        <w:t xml:space="preserve"> gerekmektedir. Bu dilekçe ekine daha önce öğrenim gördüğü yükseköğretim kurumu tarafından verilen ders içerikleri (yükseköğretim kurumlarının kurumsal web sitelerinde</w:t>
      </w:r>
      <w:r w:rsidR="00007EBA">
        <w:rPr>
          <w:bCs/>
          <w:sz w:val="24"/>
        </w:rPr>
        <w:t xml:space="preserve"> </w:t>
      </w:r>
      <w:r w:rsidR="00F5331F">
        <w:rPr>
          <w:bCs/>
          <w:sz w:val="24"/>
        </w:rPr>
        <w:t>ders içeriği mevcut olanlar hariç</w:t>
      </w:r>
      <w:r w:rsidRPr="007C6457">
        <w:rPr>
          <w:bCs/>
          <w:sz w:val="24"/>
        </w:rPr>
        <w:t xml:space="preserve">) ve not döküm </w:t>
      </w:r>
      <w:r w:rsidR="00AE1BF6" w:rsidRPr="007C6457">
        <w:rPr>
          <w:bCs/>
          <w:sz w:val="24"/>
        </w:rPr>
        <w:t xml:space="preserve">(transkript) </w:t>
      </w:r>
      <w:r w:rsidRPr="007C6457">
        <w:rPr>
          <w:bCs/>
          <w:sz w:val="24"/>
        </w:rPr>
        <w:t>belgesi</w:t>
      </w:r>
      <w:r w:rsidR="00AE1BF6">
        <w:rPr>
          <w:bCs/>
          <w:sz w:val="24"/>
        </w:rPr>
        <w:t>nin</w:t>
      </w:r>
      <w:r w:rsidRPr="007C6457">
        <w:rPr>
          <w:bCs/>
          <w:sz w:val="24"/>
        </w:rPr>
        <w:t xml:space="preserve"> (onaylı, e-imzalı veya e-devletten alınmış olmalıdır) eklenmesi gerekir. </w:t>
      </w:r>
    </w:p>
    <w:p w14:paraId="38FEF1F9" w14:textId="2795BE1E" w:rsidR="007C6457" w:rsidRPr="00C55048" w:rsidRDefault="007C6457" w:rsidP="007C6457">
      <w:pPr>
        <w:spacing w:line="360" w:lineRule="auto"/>
        <w:ind w:left="720"/>
        <w:jc w:val="both"/>
        <w:rPr>
          <w:bCs/>
          <w:sz w:val="24"/>
        </w:rPr>
      </w:pPr>
      <w:r w:rsidRPr="007C6457">
        <w:rPr>
          <w:bCs/>
          <w:sz w:val="24"/>
        </w:rPr>
        <w:t xml:space="preserve">(2) Öğrenciler, daha önce almış oldukları ve başarmış oldukları birden fazla derse karşılık muadil ders/derslerden muafiyet isteğinde </w:t>
      </w:r>
      <w:r w:rsidRPr="00C55048">
        <w:rPr>
          <w:bCs/>
          <w:sz w:val="24"/>
        </w:rPr>
        <w:t xml:space="preserve">bulunabilirler. </w:t>
      </w:r>
    </w:p>
    <w:p w14:paraId="79412075" w14:textId="3EDDA004" w:rsidR="002A2485" w:rsidRPr="00C55048" w:rsidRDefault="007C6457" w:rsidP="007C6457">
      <w:pPr>
        <w:spacing w:line="360" w:lineRule="auto"/>
        <w:ind w:left="720"/>
        <w:jc w:val="both"/>
        <w:rPr>
          <w:bCs/>
          <w:sz w:val="24"/>
        </w:rPr>
      </w:pPr>
      <w:r w:rsidRPr="00C55048">
        <w:rPr>
          <w:bCs/>
          <w:sz w:val="24"/>
        </w:rPr>
        <w:t>(3) Muafiyet için ilgili dersten almış olduğu harf notunun</w:t>
      </w:r>
      <w:r w:rsidR="00007EBA" w:rsidRPr="00C55048">
        <w:rPr>
          <w:bCs/>
          <w:sz w:val="24"/>
        </w:rPr>
        <w:t xml:space="preserve"> başarılı</w:t>
      </w:r>
      <w:r w:rsidR="00F5331F" w:rsidRPr="00C55048">
        <w:rPr>
          <w:bCs/>
          <w:sz w:val="24"/>
        </w:rPr>
        <w:t>/geçer</w:t>
      </w:r>
      <w:r w:rsidR="00007EBA" w:rsidRPr="00C55048">
        <w:rPr>
          <w:bCs/>
          <w:sz w:val="24"/>
        </w:rPr>
        <w:t xml:space="preserve"> veya CC </w:t>
      </w:r>
      <w:r w:rsidRPr="00C55048">
        <w:rPr>
          <w:bCs/>
          <w:sz w:val="24"/>
        </w:rPr>
        <w:t>üzeri karşılığı olması gerekir.</w:t>
      </w:r>
    </w:p>
    <w:p w14:paraId="67455FD6" w14:textId="543CEFAF" w:rsidR="00762575" w:rsidRPr="00C55048" w:rsidRDefault="00762575" w:rsidP="007C6457">
      <w:pPr>
        <w:spacing w:line="360" w:lineRule="auto"/>
        <w:ind w:left="720"/>
        <w:jc w:val="both"/>
        <w:rPr>
          <w:bCs/>
          <w:sz w:val="24"/>
          <w:szCs w:val="24"/>
        </w:rPr>
      </w:pPr>
      <w:r w:rsidRPr="00C55048">
        <w:rPr>
          <w:bCs/>
          <w:sz w:val="24"/>
          <w:szCs w:val="24"/>
        </w:rPr>
        <w:t>(4) Diğer üniversiteden alınan ders notu yüzlük sistemde ise harf notu çevrilirken Üniversitemiz Ön Lisans ve Lisans Eğitim-Öğretim ve Sınav Yönetmeliği dikkate alınır. Öğrencinin transkriptinde diğer üniversiteden alınan dersin sadece harf notu mevcut ise dersten başarılı olması şartı ile bu not yüzlük sisteme çevrilirken Üniversitemiz Ön Lisans ve Lisans Eğitim-Öğretim ve Sınav Yönetmeliği’nin 25. maddesinde yer alan ve ilgili harf notuna karşılık gelen aralığın aritmetik ortalaması verilir.</w:t>
      </w:r>
    </w:p>
    <w:p w14:paraId="532C80A4" w14:textId="3AE2B50D" w:rsidR="00762575" w:rsidRPr="00C55048" w:rsidRDefault="007D75D5" w:rsidP="007D75D5">
      <w:pPr>
        <w:spacing w:line="360" w:lineRule="auto"/>
        <w:ind w:left="720"/>
        <w:jc w:val="both"/>
        <w:rPr>
          <w:bCs/>
          <w:sz w:val="24"/>
          <w:szCs w:val="24"/>
        </w:rPr>
      </w:pPr>
      <w:r w:rsidRPr="00C55048">
        <w:rPr>
          <w:bCs/>
          <w:sz w:val="24"/>
          <w:szCs w:val="24"/>
        </w:rPr>
        <w:t>(5)</w:t>
      </w:r>
      <w:r w:rsidR="00762575" w:rsidRPr="00C55048">
        <w:rPr>
          <w:bCs/>
          <w:sz w:val="24"/>
          <w:szCs w:val="24"/>
        </w:rPr>
        <w:t xml:space="preserve"> Öğrencinin, daha önceki yükseköğrenim kurumundan aldığı derslerden başarılı/geçti (şartlı başarılı hariç) notuna sahip olan ancak verilen harf notunun Üniversitemiz Ön</w:t>
      </w:r>
      <w:r w:rsidRPr="00C55048">
        <w:rPr>
          <w:bCs/>
          <w:sz w:val="24"/>
          <w:szCs w:val="24"/>
        </w:rPr>
        <w:t xml:space="preserve"> L</w:t>
      </w:r>
      <w:r w:rsidR="00762575" w:rsidRPr="00C55048">
        <w:rPr>
          <w:bCs/>
          <w:sz w:val="24"/>
          <w:szCs w:val="24"/>
        </w:rPr>
        <w:t xml:space="preserve">isans ve Lisans Eğitim Öğretim Sınav Yönetmeliği 25. Maddesindeki karşılığı olmayan durumlarda, daha önceki yüksek öğretim kurumunun harf skalası dikkate alınarak, dersin harf notu en az CC olarak değerlendirilir. </w:t>
      </w:r>
    </w:p>
    <w:p w14:paraId="13943EDA" w14:textId="07514C44" w:rsidR="007C6457" w:rsidRDefault="007C6457" w:rsidP="007C6457">
      <w:pPr>
        <w:spacing w:line="360" w:lineRule="auto"/>
        <w:ind w:left="720"/>
        <w:jc w:val="both"/>
        <w:rPr>
          <w:bCs/>
          <w:sz w:val="24"/>
        </w:rPr>
      </w:pPr>
      <w:r w:rsidRPr="007C6457">
        <w:rPr>
          <w:bCs/>
          <w:sz w:val="24"/>
        </w:rPr>
        <w:lastRenderedPageBreak/>
        <w:t>(</w:t>
      </w:r>
      <w:r w:rsidR="007D75D5">
        <w:rPr>
          <w:bCs/>
          <w:sz w:val="24"/>
        </w:rPr>
        <w:t>6</w:t>
      </w:r>
      <w:r w:rsidRPr="007C6457">
        <w:rPr>
          <w:bCs/>
          <w:sz w:val="24"/>
        </w:rPr>
        <w:t xml:space="preserve">) YÖK tarafından denkliği tanınmayan yurt dışındaki üniversitelerden alınan dersler için muafiyet ve intibak işlemleri yapılmaz. </w:t>
      </w:r>
    </w:p>
    <w:p w14:paraId="40527E1A" w14:textId="506C7389" w:rsidR="00351BB2" w:rsidRDefault="007C6457" w:rsidP="00A91C9C">
      <w:pPr>
        <w:spacing w:line="360" w:lineRule="auto"/>
        <w:ind w:left="720"/>
        <w:jc w:val="both"/>
        <w:rPr>
          <w:bCs/>
          <w:sz w:val="24"/>
        </w:rPr>
      </w:pPr>
      <w:r w:rsidRPr="007C6457">
        <w:rPr>
          <w:bCs/>
          <w:sz w:val="24"/>
        </w:rPr>
        <w:t>(</w:t>
      </w:r>
      <w:r w:rsidR="007D75D5">
        <w:rPr>
          <w:bCs/>
          <w:sz w:val="24"/>
        </w:rPr>
        <w:t>7</w:t>
      </w:r>
      <w:r w:rsidRPr="007C6457">
        <w:rPr>
          <w:bCs/>
          <w:sz w:val="24"/>
        </w:rPr>
        <w:t xml:space="preserve">) Muafiyet ve intibak başvuruları, Üniversitemiz akademik takviminde belirtilen eğitim-öğretim başlangıç tarihini takip eden en geç </w:t>
      </w:r>
      <w:r w:rsidR="00A91C9C">
        <w:rPr>
          <w:bCs/>
          <w:sz w:val="24"/>
        </w:rPr>
        <w:t xml:space="preserve">yedi </w:t>
      </w:r>
      <w:r w:rsidRPr="007C6457">
        <w:rPr>
          <w:bCs/>
          <w:sz w:val="24"/>
        </w:rPr>
        <w:t>(</w:t>
      </w:r>
      <w:r w:rsidR="00A91C9C">
        <w:rPr>
          <w:bCs/>
          <w:sz w:val="24"/>
        </w:rPr>
        <w:t>7</w:t>
      </w:r>
      <w:r w:rsidRPr="007C6457">
        <w:rPr>
          <w:bCs/>
          <w:sz w:val="24"/>
        </w:rPr>
        <w:t xml:space="preserve">) iş günü içerisinde; eğitim-öğretim başladıktan sonra Üniversiteye kayıt olan öğrencilerin başvuruları ise, kayıt tarihini takip eden en geç beş (5) </w:t>
      </w:r>
      <w:r w:rsidR="00A91C9C">
        <w:rPr>
          <w:bCs/>
          <w:sz w:val="24"/>
        </w:rPr>
        <w:t xml:space="preserve">iş </w:t>
      </w:r>
      <w:r w:rsidRPr="007C6457">
        <w:rPr>
          <w:bCs/>
          <w:sz w:val="24"/>
        </w:rPr>
        <w:t>gün</w:t>
      </w:r>
      <w:r w:rsidR="00A91C9C">
        <w:rPr>
          <w:bCs/>
          <w:sz w:val="24"/>
        </w:rPr>
        <w:t>ü</w:t>
      </w:r>
      <w:r w:rsidRPr="007C6457">
        <w:rPr>
          <w:bCs/>
          <w:sz w:val="24"/>
        </w:rPr>
        <w:t xml:space="preserve"> içerisinde şahsen veya öğrencinin yasal vekilleri tarafından ilgili bölüm başkanlığına sadece bir defaya mahsus olma üzere yapılır. İlgili intibak komisyonu yapılan başvuruları başvuru tarihini takip eden beş (5) iş gün</w:t>
      </w:r>
      <w:r w:rsidR="00A91C9C">
        <w:rPr>
          <w:bCs/>
          <w:sz w:val="24"/>
        </w:rPr>
        <w:t>ü</w:t>
      </w:r>
      <w:r w:rsidRPr="007C6457">
        <w:rPr>
          <w:bCs/>
          <w:sz w:val="24"/>
        </w:rPr>
        <w:t xml:space="preserve"> içerisinde görüşerek karara bağlar. İlgili yönetim kurulu bu kararları görüşür ve kesin kararı Öğrenci İşleri Daire Başkanlığına bildirir. </w:t>
      </w:r>
    </w:p>
    <w:p w14:paraId="32F7942B" w14:textId="77777777" w:rsidR="00351BB2" w:rsidRPr="00351BB2" w:rsidRDefault="00351BB2" w:rsidP="00351BB2">
      <w:pPr>
        <w:spacing w:line="360" w:lineRule="auto"/>
        <w:ind w:left="720"/>
        <w:jc w:val="both"/>
        <w:rPr>
          <w:b/>
          <w:sz w:val="24"/>
        </w:rPr>
      </w:pPr>
      <w:bookmarkStart w:id="1" w:name="_GoBack"/>
      <w:bookmarkEnd w:id="1"/>
      <w:r w:rsidRPr="00351BB2">
        <w:rPr>
          <w:b/>
          <w:sz w:val="24"/>
        </w:rPr>
        <w:t xml:space="preserve">Muafiyet ve intibak ile ilgili hususlar </w:t>
      </w:r>
    </w:p>
    <w:p w14:paraId="63A794F4" w14:textId="77777777" w:rsidR="00351BB2" w:rsidRDefault="00351BB2" w:rsidP="00351BB2">
      <w:pPr>
        <w:spacing w:line="360" w:lineRule="auto"/>
        <w:ind w:left="720"/>
        <w:jc w:val="both"/>
        <w:rPr>
          <w:bCs/>
          <w:sz w:val="24"/>
        </w:rPr>
      </w:pPr>
      <w:r w:rsidRPr="00351BB2">
        <w:rPr>
          <w:b/>
          <w:sz w:val="24"/>
        </w:rPr>
        <w:t>MADDE 6-</w:t>
      </w:r>
      <w:r w:rsidRPr="00351BB2">
        <w:rPr>
          <w:bCs/>
          <w:sz w:val="24"/>
        </w:rPr>
        <w:t xml:space="preserve"> (1) Öğrenciler, muafiyet talepleri ilgili yönetim kurulu tarafından değerlendirilip karara bağlanıncaya kadar muafiyet talebinde bulundukları ders/derslere devam ederler. </w:t>
      </w:r>
    </w:p>
    <w:p w14:paraId="231055FF" w14:textId="50A5E53F" w:rsidR="00351BB2" w:rsidRPr="00C55048" w:rsidRDefault="00351BB2" w:rsidP="00351BB2">
      <w:pPr>
        <w:spacing w:line="360" w:lineRule="auto"/>
        <w:ind w:left="720"/>
        <w:jc w:val="both"/>
        <w:rPr>
          <w:bCs/>
          <w:sz w:val="24"/>
        </w:rPr>
      </w:pPr>
      <w:r w:rsidRPr="00351BB2">
        <w:rPr>
          <w:bCs/>
          <w:sz w:val="24"/>
        </w:rPr>
        <w:t xml:space="preserve">(2) Yükseköğretim </w:t>
      </w:r>
      <w:r w:rsidRPr="00C55048">
        <w:rPr>
          <w:bCs/>
          <w:sz w:val="24"/>
        </w:rPr>
        <w:t>kurumlarından daha önce alınıp başarılı olunan ve eşdeğer (muaf) sayılması istenen dersin zorunlu veya seçmeli olması durumuna bakılmaksızın, AKTS</w:t>
      </w:r>
      <w:r w:rsidR="00AE1BF6" w:rsidRPr="00C55048">
        <w:rPr>
          <w:bCs/>
          <w:sz w:val="24"/>
        </w:rPr>
        <w:t>/kredi</w:t>
      </w:r>
      <w:r w:rsidRPr="00C55048">
        <w:rPr>
          <w:bCs/>
          <w:sz w:val="24"/>
        </w:rPr>
        <w:t xml:space="preserve"> değeri ve ders içerikleri incelenir. Daha önce alınıp başarılı olunan dersin AKTS </w:t>
      </w:r>
      <w:r w:rsidR="00007EBA" w:rsidRPr="00C55048">
        <w:rPr>
          <w:bCs/>
          <w:sz w:val="24"/>
        </w:rPr>
        <w:t xml:space="preserve">veya kredi </w:t>
      </w:r>
      <w:r w:rsidRPr="00C55048">
        <w:rPr>
          <w:bCs/>
          <w:sz w:val="24"/>
        </w:rPr>
        <w:t>değeri Üniversitemizdeki eşdeğer sayılacak dersin AKTS</w:t>
      </w:r>
      <w:r w:rsidR="00007EBA" w:rsidRPr="00C55048">
        <w:rPr>
          <w:bCs/>
          <w:sz w:val="24"/>
        </w:rPr>
        <w:t xml:space="preserve"> veya kredi</w:t>
      </w:r>
      <w:r w:rsidRPr="00C55048">
        <w:rPr>
          <w:bCs/>
          <w:sz w:val="24"/>
        </w:rPr>
        <w:t xml:space="preserve"> değerinden az olmaması </w:t>
      </w:r>
      <w:r w:rsidR="00007EBA" w:rsidRPr="00C55048">
        <w:rPr>
          <w:bCs/>
          <w:sz w:val="24"/>
        </w:rPr>
        <w:t xml:space="preserve">ve </w:t>
      </w:r>
      <w:r w:rsidRPr="00C55048">
        <w:rPr>
          <w:bCs/>
          <w:sz w:val="24"/>
        </w:rPr>
        <w:t xml:space="preserve">dersin içeriğinin </w:t>
      </w:r>
      <w:r w:rsidR="00007EBA" w:rsidRPr="00C55048">
        <w:rPr>
          <w:bCs/>
          <w:sz w:val="24"/>
        </w:rPr>
        <w:t xml:space="preserve">ilgili bölüm başkanlığınca uygun görülmesi durumunda </w:t>
      </w:r>
      <w:r w:rsidR="00AE1BF6" w:rsidRPr="00C55048">
        <w:rPr>
          <w:bCs/>
          <w:sz w:val="24"/>
        </w:rPr>
        <w:t xml:space="preserve">muafiyet talebi </w:t>
      </w:r>
      <w:r w:rsidR="00007EBA" w:rsidRPr="00C55048">
        <w:rPr>
          <w:bCs/>
          <w:sz w:val="24"/>
        </w:rPr>
        <w:t>değerlendir</w:t>
      </w:r>
      <w:r w:rsidR="00AE1BF6" w:rsidRPr="00C55048">
        <w:rPr>
          <w:bCs/>
          <w:sz w:val="24"/>
        </w:rPr>
        <w:t>meye alınır.</w:t>
      </w:r>
    </w:p>
    <w:p w14:paraId="10B6BEE1" w14:textId="77777777" w:rsidR="009D0380" w:rsidRDefault="008A2D42" w:rsidP="00351BB2">
      <w:pPr>
        <w:spacing w:line="360" w:lineRule="auto"/>
        <w:ind w:left="720"/>
        <w:jc w:val="both"/>
        <w:rPr>
          <w:bCs/>
          <w:sz w:val="24"/>
        </w:rPr>
      </w:pPr>
      <w:r w:rsidRPr="008A2D42">
        <w:rPr>
          <w:bCs/>
          <w:sz w:val="24"/>
        </w:rPr>
        <w:t>(</w:t>
      </w:r>
      <w:r>
        <w:rPr>
          <w:bCs/>
          <w:sz w:val="24"/>
        </w:rPr>
        <w:t>3</w:t>
      </w:r>
      <w:r w:rsidRPr="008A2D42">
        <w:rPr>
          <w:bCs/>
          <w:sz w:val="24"/>
        </w:rPr>
        <w:t>) Eşdeğer sayılması istenen bir dersin adının, eşdeğer sayılacak dersin adı ile birebir aynı olması gerekmez.</w:t>
      </w:r>
    </w:p>
    <w:p w14:paraId="28FDE5F9" w14:textId="1C42A50E" w:rsidR="00B10B1F" w:rsidRDefault="009D0380" w:rsidP="00351BB2">
      <w:pPr>
        <w:spacing w:line="360" w:lineRule="auto"/>
        <w:ind w:left="720"/>
        <w:jc w:val="both"/>
        <w:rPr>
          <w:bCs/>
          <w:sz w:val="24"/>
        </w:rPr>
      </w:pPr>
      <w:r>
        <w:rPr>
          <w:bCs/>
          <w:sz w:val="24"/>
        </w:rPr>
        <w:t xml:space="preserve">(4) </w:t>
      </w:r>
      <w:r w:rsidRPr="009D0380">
        <w:rPr>
          <w:bCs/>
          <w:sz w:val="24"/>
        </w:rPr>
        <w:t xml:space="preserve">Muafiyet taleplerinde; birden fazla </w:t>
      </w:r>
      <w:r w:rsidR="00B10B1F">
        <w:rPr>
          <w:bCs/>
          <w:sz w:val="24"/>
        </w:rPr>
        <w:t xml:space="preserve">başarılı </w:t>
      </w:r>
      <w:r w:rsidRPr="009D0380">
        <w:rPr>
          <w:bCs/>
          <w:sz w:val="24"/>
        </w:rPr>
        <w:t>dersin bir derse eşdeğer sayılması</w:t>
      </w:r>
      <w:r w:rsidR="00B10B1F">
        <w:rPr>
          <w:bCs/>
          <w:sz w:val="24"/>
        </w:rPr>
        <w:t xml:space="preserve"> için bu derslerin AKTS veya kredi değerlerinin aritmetik ortalamasının intibak ettirilecek dersin AKTS veya kredi değerine eşit veya yüksek olması gerekir. Bu</w:t>
      </w:r>
      <w:r w:rsidRPr="009D0380">
        <w:rPr>
          <w:bCs/>
          <w:sz w:val="24"/>
        </w:rPr>
        <w:t xml:space="preserve"> durumunda bu derslerin kredisine göre ağırlıklı not ortalaması alınarak intibak yapılır. </w:t>
      </w:r>
    </w:p>
    <w:p w14:paraId="4E7360D3" w14:textId="226B2725" w:rsidR="009D0380" w:rsidRDefault="00B10B1F" w:rsidP="00351BB2">
      <w:pPr>
        <w:spacing w:line="360" w:lineRule="auto"/>
        <w:ind w:left="720"/>
        <w:jc w:val="both"/>
        <w:rPr>
          <w:bCs/>
          <w:sz w:val="24"/>
        </w:rPr>
      </w:pPr>
      <w:r>
        <w:rPr>
          <w:bCs/>
          <w:sz w:val="24"/>
        </w:rPr>
        <w:t xml:space="preserve">(5) </w:t>
      </w:r>
      <w:r w:rsidR="009D0380" w:rsidRPr="009D0380">
        <w:rPr>
          <w:bCs/>
          <w:sz w:val="24"/>
        </w:rPr>
        <w:t xml:space="preserve">Bir </w:t>
      </w:r>
      <w:r>
        <w:rPr>
          <w:bCs/>
          <w:sz w:val="24"/>
        </w:rPr>
        <w:t xml:space="preserve">başarılı </w:t>
      </w:r>
      <w:r w:rsidR="009D0380" w:rsidRPr="009D0380">
        <w:rPr>
          <w:bCs/>
          <w:sz w:val="24"/>
        </w:rPr>
        <w:t>dersin, birden fazla derse eşdeğer sayılması</w:t>
      </w:r>
      <w:r>
        <w:rPr>
          <w:bCs/>
          <w:sz w:val="24"/>
        </w:rPr>
        <w:t xml:space="preserve"> için bu dersin AKTS veya kredi değerinin söz konusu birden fazla dersin AKTS veya kredi </w:t>
      </w:r>
      <w:r w:rsidR="00757E09">
        <w:rPr>
          <w:bCs/>
          <w:sz w:val="24"/>
        </w:rPr>
        <w:t>değerleri toplamına</w:t>
      </w:r>
      <w:r>
        <w:rPr>
          <w:bCs/>
          <w:sz w:val="24"/>
        </w:rPr>
        <w:t xml:space="preserve"> eşit veya yüksek olması gerekir. Bu </w:t>
      </w:r>
      <w:r w:rsidR="009D0380" w:rsidRPr="009D0380">
        <w:rPr>
          <w:bCs/>
          <w:sz w:val="24"/>
        </w:rPr>
        <w:t xml:space="preserve">durumda, ilgili dersin başarı notu eşdeğer derslerin tamamı için geçerli sayılır. </w:t>
      </w:r>
    </w:p>
    <w:p w14:paraId="35DD5996" w14:textId="6B3A68B3" w:rsidR="008A2D42" w:rsidRDefault="008A2D42" w:rsidP="00351BB2">
      <w:pPr>
        <w:spacing w:line="360" w:lineRule="auto"/>
        <w:ind w:left="720"/>
        <w:jc w:val="both"/>
        <w:rPr>
          <w:bCs/>
          <w:sz w:val="24"/>
        </w:rPr>
      </w:pPr>
      <w:r w:rsidRPr="008A2D42">
        <w:rPr>
          <w:bCs/>
          <w:sz w:val="24"/>
        </w:rPr>
        <w:t>(</w:t>
      </w:r>
      <w:r w:rsidR="009D0380">
        <w:rPr>
          <w:bCs/>
          <w:sz w:val="24"/>
        </w:rPr>
        <w:t>5</w:t>
      </w:r>
      <w:r w:rsidRPr="008A2D42">
        <w:rPr>
          <w:bCs/>
          <w:sz w:val="24"/>
        </w:rPr>
        <w:t xml:space="preserve">) Daha önce Üniversitemizde veya diğer üniversitelerde öğrenim gören öğrencilerin ön lisans/lisans </w:t>
      </w:r>
      <w:r w:rsidRPr="00C55048">
        <w:rPr>
          <w:bCs/>
          <w:sz w:val="24"/>
        </w:rPr>
        <w:t xml:space="preserve">programında </w:t>
      </w:r>
      <w:r w:rsidR="009A4AFF" w:rsidRPr="00C55048">
        <w:rPr>
          <w:bCs/>
          <w:sz w:val="24"/>
        </w:rPr>
        <w:t xml:space="preserve">CC ve üzeri </w:t>
      </w:r>
      <w:r w:rsidR="00A72B97" w:rsidRPr="00C55048">
        <w:rPr>
          <w:bCs/>
          <w:sz w:val="24"/>
        </w:rPr>
        <w:t xml:space="preserve">harf notuna sahip </w:t>
      </w:r>
      <w:r w:rsidRPr="00C55048">
        <w:rPr>
          <w:bCs/>
          <w:sz w:val="24"/>
        </w:rPr>
        <w:t>başarılı oldu</w:t>
      </w:r>
      <w:r w:rsidR="00A72B97" w:rsidRPr="00C55048">
        <w:rPr>
          <w:bCs/>
          <w:sz w:val="24"/>
        </w:rPr>
        <w:t>kları</w:t>
      </w:r>
      <w:r w:rsidRPr="00C55048">
        <w:rPr>
          <w:bCs/>
          <w:sz w:val="24"/>
        </w:rPr>
        <w:t xml:space="preserve"> dersler</w:t>
      </w:r>
      <w:r w:rsidR="00A72B97" w:rsidRPr="00C55048">
        <w:rPr>
          <w:bCs/>
          <w:sz w:val="24"/>
        </w:rPr>
        <w:t>den</w:t>
      </w:r>
      <w:r w:rsidRPr="00C55048">
        <w:rPr>
          <w:bCs/>
          <w:sz w:val="24"/>
        </w:rPr>
        <w:t xml:space="preserve"> muafiyetleri kabul edilenlerin daha önce aldıkları harf notları </w:t>
      </w:r>
      <w:r w:rsidRPr="008A2D42">
        <w:rPr>
          <w:bCs/>
          <w:sz w:val="24"/>
        </w:rPr>
        <w:t>aynen kabul edilir ve not döküm</w:t>
      </w:r>
      <w:r w:rsidR="00E81CAE">
        <w:rPr>
          <w:bCs/>
          <w:sz w:val="24"/>
        </w:rPr>
        <w:t xml:space="preserve"> (transkript)</w:t>
      </w:r>
      <w:r w:rsidRPr="008A2D42">
        <w:rPr>
          <w:bCs/>
          <w:sz w:val="24"/>
        </w:rPr>
        <w:t xml:space="preserve"> belgelerine aynen işlenir. Bu notlar GNO hesaplamasına </w:t>
      </w:r>
      <w:proofErr w:type="gramStart"/>
      <w:r w:rsidRPr="008A2D42">
        <w:rPr>
          <w:bCs/>
          <w:sz w:val="24"/>
        </w:rPr>
        <w:t>dahil</w:t>
      </w:r>
      <w:proofErr w:type="gramEnd"/>
      <w:r w:rsidRPr="008A2D42">
        <w:rPr>
          <w:bCs/>
          <w:sz w:val="24"/>
        </w:rPr>
        <w:t xml:space="preserve"> edilir. </w:t>
      </w:r>
    </w:p>
    <w:p w14:paraId="3ACF98C2" w14:textId="64C6DC22" w:rsidR="00C55048" w:rsidRDefault="00C55048" w:rsidP="00351BB2">
      <w:pPr>
        <w:spacing w:line="360" w:lineRule="auto"/>
        <w:ind w:left="720"/>
        <w:jc w:val="both"/>
        <w:rPr>
          <w:bCs/>
          <w:sz w:val="24"/>
        </w:rPr>
      </w:pPr>
      <w:r>
        <w:rPr>
          <w:bCs/>
          <w:sz w:val="24"/>
        </w:rPr>
        <w:t>(6) Muafiyet programı belirlenen öğrencinin hangi sınıfa intibak ettirileceği ilgili intibak komisyonun önerisi ile ilgili yönetim kurulu tarafından karara bağlanır. İntibak ettirilen yıldan önceki yarıyıllardaki muaf edilmeyen dersler öncellikle alınır.</w:t>
      </w:r>
    </w:p>
    <w:p w14:paraId="69510A98" w14:textId="3BF7EA1B" w:rsidR="008A2D42" w:rsidRPr="00C55048" w:rsidRDefault="008A2D42" w:rsidP="00351BB2">
      <w:pPr>
        <w:spacing w:line="360" w:lineRule="auto"/>
        <w:ind w:left="720"/>
        <w:jc w:val="both"/>
        <w:rPr>
          <w:bCs/>
          <w:sz w:val="24"/>
        </w:rPr>
      </w:pPr>
      <w:r w:rsidRPr="00C55048">
        <w:rPr>
          <w:bCs/>
          <w:sz w:val="24"/>
        </w:rPr>
        <w:t>(</w:t>
      </w:r>
      <w:r w:rsidR="009D0380" w:rsidRPr="00C55048">
        <w:rPr>
          <w:bCs/>
          <w:sz w:val="24"/>
        </w:rPr>
        <w:t>7</w:t>
      </w:r>
      <w:r w:rsidRPr="00C55048">
        <w:rPr>
          <w:bCs/>
          <w:sz w:val="24"/>
        </w:rPr>
        <w:t>) Yapı</w:t>
      </w:r>
      <w:r w:rsidR="009A10D5" w:rsidRPr="00C55048">
        <w:rPr>
          <w:bCs/>
          <w:sz w:val="24"/>
        </w:rPr>
        <w:t>lan muafiyet/int</w:t>
      </w:r>
      <w:r w:rsidR="001B0F21" w:rsidRPr="00C55048">
        <w:rPr>
          <w:bCs/>
          <w:sz w:val="24"/>
        </w:rPr>
        <w:t xml:space="preserve">ibak sonuçları öğrenciye öğrenci bilgi sistemine işlendiği tarih itibariyle </w:t>
      </w:r>
      <w:r w:rsidR="001B0F21" w:rsidRPr="00C55048">
        <w:rPr>
          <w:bCs/>
          <w:sz w:val="24"/>
        </w:rPr>
        <w:lastRenderedPageBreak/>
        <w:t>beş (5)</w:t>
      </w:r>
      <w:r w:rsidRPr="00C55048">
        <w:rPr>
          <w:bCs/>
          <w:sz w:val="24"/>
        </w:rPr>
        <w:t xml:space="preserve"> iş günü içinde </w:t>
      </w:r>
      <w:r w:rsidR="001B0F21" w:rsidRPr="00C55048">
        <w:rPr>
          <w:bCs/>
          <w:sz w:val="24"/>
        </w:rPr>
        <w:t xml:space="preserve">tebliğ edilmiş sayılır. </w:t>
      </w:r>
      <w:r w:rsidR="00A72B97" w:rsidRPr="00C55048">
        <w:rPr>
          <w:bCs/>
          <w:sz w:val="24"/>
        </w:rPr>
        <w:t>Muafiyet/intibak sonuçlarına itirazlar b</w:t>
      </w:r>
      <w:r w:rsidR="001B0F21" w:rsidRPr="00C55048">
        <w:rPr>
          <w:bCs/>
          <w:sz w:val="24"/>
        </w:rPr>
        <w:t>u süre içinde ve</w:t>
      </w:r>
      <w:r w:rsidR="00A72B97" w:rsidRPr="00C55048">
        <w:rPr>
          <w:bCs/>
          <w:sz w:val="24"/>
        </w:rPr>
        <w:t>ya</w:t>
      </w:r>
      <w:r w:rsidR="001B0F21" w:rsidRPr="00C55048">
        <w:rPr>
          <w:bCs/>
          <w:sz w:val="24"/>
        </w:rPr>
        <w:t xml:space="preserve"> </w:t>
      </w:r>
      <w:r w:rsidR="00A72B97" w:rsidRPr="00C55048">
        <w:rPr>
          <w:bCs/>
          <w:sz w:val="24"/>
        </w:rPr>
        <w:t>süre bitimini takip eden</w:t>
      </w:r>
      <w:r w:rsidR="001B0F21" w:rsidRPr="00C55048">
        <w:rPr>
          <w:bCs/>
          <w:sz w:val="24"/>
        </w:rPr>
        <w:t xml:space="preserve"> üç (3) iş günü içinde </w:t>
      </w:r>
      <w:r w:rsidR="00A72B97" w:rsidRPr="00C55048">
        <w:rPr>
          <w:bCs/>
          <w:sz w:val="24"/>
        </w:rPr>
        <w:t xml:space="preserve">ilgili </w:t>
      </w:r>
      <w:r w:rsidR="001B0F21" w:rsidRPr="00C55048">
        <w:rPr>
          <w:bCs/>
          <w:sz w:val="24"/>
        </w:rPr>
        <w:t>bölüm başkanlığına yapılır.</w:t>
      </w:r>
      <w:r w:rsidR="00B33046" w:rsidRPr="00C55048">
        <w:rPr>
          <w:bCs/>
          <w:sz w:val="24"/>
        </w:rPr>
        <w:t xml:space="preserve"> İlgili Bölüm başkanlığı itiraz başvurularını en geç iki (2) iş günü içerisinde</w:t>
      </w:r>
      <w:r w:rsidR="006B0064" w:rsidRPr="00C55048">
        <w:rPr>
          <w:bCs/>
          <w:sz w:val="24"/>
        </w:rPr>
        <w:t xml:space="preserve"> değerlendirerek</w:t>
      </w:r>
      <w:r w:rsidR="00B33046" w:rsidRPr="00C55048">
        <w:rPr>
          <w:bCs/>
          <w:sz w:val="24"/>
        </w:rPr>
        <w:t xml:space="preserve"> kararını ilgili dekanlık/müdürlüğe bildirir</w:t>
      </w:r>
      <w:r w:rsidR="001B0F21" w:rsidRPr="00C55048">
        <w:rPr>
          <w:bCs/>
          <w:sz w:val="24"/>
        </w:rPr>
        <w:t>.</w:t>
      </w:r>
      <w:r w:rsidR="00B33046" w:rsidRPr="00C55048">
        <w:rPr>
          <w:bCs/>
          <w:sz w:val="24"/>
        </w:rPr>
        <w:t xml:space="preserve"> </w:t>
      </w:r>
    </w:p>
    <w:p w14:paraId="44A42726" w14:textId="74842696" w:rsidR="008A2D42" w:rsidRDefault="008A2D42" w:rsidP="00351BB2">
      <w:pPr>
        <w:spacing w:line="360" w:lineRule="auto"/>
        <w:ind w:left="720"/>
        <w:jc w:val="both"/>
        <w:rPr>
          <w:bCs/>
          <w:sz w:val="24"/>
        </w:rPr>
      </w:pPr>
      <w:r w:rsidRPr="008A2D42">
        <w:rPr>
          <w:bCs/>
          <w:sz w:val="24"/>
        </w:rPr>
        <w:t>(</w:t>
      </w:r>
      <w:r w:rsidR="009D0380">
        <w:rPr>
          <w:bCs/>
          <w:sz w:val="24"/>
        </w:rPr>
        <w:t>8</w:t>
      </w:r>
      <w:r w:rsidRPr="008A2D42">
        <w:rPr>
          <w:bCs/>
          <w:sz w:val="24"/>
        </w:rPr>
        <w:t>)</w:t>
      </w:r>
      <w:r>
        <w:rPr>
          <w:bCs/>
          <w:sz w:val="24"/>
        </w:rPr>
        <w:t xml:space="preserve"> </w:t>
      </w:r>
      <w:r w:rsidRPr="008A2D42">
        <w:rPr>
          <w:bCs/>
          <w:sz w:val="24"/>
        </w:rPr>
        <w:t xml:space="preserve">Muafiyeti istenen daha önce alınan dersin </w:t>
      </w:r>
      <w:r w:rsidR="003C6AF4">
        <w:rPr>
          <w:bCs/>
          <w:sz w:val="24"/>
        </w:rPr>
        <w:t>ortak</w:t>
      </w:r>
      <w:r w:rsidRPr="008A2D42">
        <w:rPr>
          <w:bCs/>
          <w:sz w:val="24"/>
        </w:rPr>
        <w:t xml:space="preserve"> seçmeli ders olması durumunda; içerik uyumuna bakılmaksızın, ders AKTS </w:t>
      </w:r>
      <w:r w:rsidR="00A72B97">
        <w:rPr>
          <w:bCs/>
          <w:sz w:val="24"/>
        </w:rPr>
        <w:t xml:space="preserve">veya </w:t>
      </w:r>
      <w:r w:rsidRPr="008A2D42">
        <w:rPr>
          <w:bCs/>
          <w:sz w:val="24"/>
        </w:rPr>
        <w:t xml:space="preserve">kredisinin Üniversitemizdeki </w:t>
      </w:r>
      <w:r w:rsidR="003C6AF4">
        <w:rPr>
          <w:bCs/>
          <w:sz w:val="24"/>
        </w:rPr>
        <w:t>ortak</w:t>
      </w:r>
      <w:r w:rsidRPr="008A2D42">
        <w:rPr>
          <w:bCs/>
          <w:sz w:val="24"/>
        </w:rPr>
        <w:t xml:space="preserve"> seçmeli ders </w:t>
      </w:r>
      <w:proofErr w:type="gramStart"/>
      <w:r w:rsidR="00A72B97" w:rsidRPr="008A2D42">
        <w:rPr>
          <w:bCs/>
          <w:sz w:val="24"/>
        </w:rPr>
        <w:t xml:space="preserve">AKTS </w:t>
      </w:r>
      <w:r w:rsidR="00A72B97">
        <w:rPr>
          <w:bCs/>
          <w:sz w:val="24"/>
        </w:rPr>
        <w:t xml:space="preserve"> veya</w:t>
      </w:r>
      <w:proofErr w:type="gramEnd"/>
      <w:r w:rsidR="00A72B97">
        <w:rPr>
          <w:bCs/>
          <w:sz w:val="24"/>
        </w:rPr>
        <w:t xml:space="preserve"> </w:t>
      </w:r>
      <w:r w:rsidRPr="008A2D42">
        <w:rPr>
          <w:bCs/>
          <w:sz w:val="24"/>
        </w:rPr>
        <w:t xml:space="preserve">kredi </w:t>
      </w:r>
      <w:r w:rsidR="003C6AF4">
        <w:rPr>
          <w:bCs/>
          <w:sz w:val="24"/>
        </w:rPr>
        <w:t>değerinden</w:t>
      </w:r>
      <w:r w:rsidRPr="008A2D42">
        <w:rPr>
          <w:bCs/>
          <w:sz w:val="24"/>
        </w:rPr>
        <w:t xml:space="preserve"> az olmaması şartı ile muaf olunabilir. </w:t>
      </w:r>
    </w:p>
    <w:p w14:paraId="6076A682" w14:textId="21E25BCF" w:rsidR="008A2D42" w:rsidRPr="00C55048" w:rsidRDefault="008A2D42" w:rsidP="00351BB2">
      <w:pPr>
        <w:spacing w:line="360" w:lineRule="auto"/>
        <w:ind w:left="720"/>
        <w:jc w:val="both"/>
        <w:rPr>
          <w:bCs/>
          <w:sz w:val="24"/>
        </w:rPr>
      </w:pPr>
      <w:r w:rsidRPr="008A2D42">
        <w:rPr>
          <w:bCs/>
          <w:sz w:val="24"/>
        </w:rPr>
        <w:t>(</w:t>
      </w:r>
      <w:r w:rsidR="009D0380">
        <w:rPr>
          <w:bCs/>
          <w:sz w:val="24"/>
        </w:rPr>
        <w:t>9</w:t>
      </w:r>
      <w:r w:rsidRPr="008A2D42">
        <w:rPr>
          <w:bCs/>
          <w:sz w:val="24"/>
        </w:rPr>
        <w:t>)</w:t>
      </w:r>
      <w:r w:rsidR="003C6AF4">
        <w:rPr>
          <w:bCs/>
          <w:sz w:val="24"/>
        </w:rPr>
        <w:t xml:space="preserve"> </w:t>
      </w:r>
      <w:r w:rsidRPr="008A2D42">
        <w:rPr>
          <w:bCs/>
          <w:sz w:val="24"/>
        </w:rPr>
        <w:t xml:space="preserve">Aynı anda bir ön lisans ve lisans öğrenimine devam eden öğrenciler, kayıtlı olduğu programlardan birinden almış oldukları dersleri, diğer programın eşdeğer derslerine karşılık muafiyet talebinde </w:t>
      </w:r>
      <w:r w:rsidRPr="00C55048">
        <w:rPr>
          <w:bCs/>
          <w:sz w:val="24"/>
        </w:rPr>
        <w:t xml:space="preserve">bulunamazlar. </w:t>
      </w:r>
    </w:p>
    <w:p w14:paraId="747E39B0" w14:textId="4EF9927A" w:rsidR="008A2D42" w:rsidRDefault="008A2D42" w:rsidP="00351BB2">
      <w:pPr>
        <w:spacing w:line="360" w:lineRule="auto"/>
        <w:ind w:left="720"/>
        <w:jc w:val="both"/>
        <w:rPr>
          <w:bCs/>
          <w:sz w:val="24"/>
        </w:rPr>
      </w:pPr>
      <w:r w:rsidRPr="00C55048">
        <w:rPr>
          <w:bCs/>
          <w:sz w:val="24"/>
        </w:rPr>
        <w:t>(</w:t>
      </w:r>
      <w:r w:rsidR="009D0380" w:rsidRPr="00C55048">
        <w:rPr>
          <w:bCs/>
          <w:sz w:val="24"/>
        </w:rPr>
        <w:t>10</w:t>
      </w:r>
      <w:r w:rsidRPr="00C55048">
        <w:rPr>
          <w:bCs/>
          <w:sz w:val="24"/>
        </w:rPr>
        <w:t>)</w:t>
      </w:r>
      <w:r w:rsidR="001E7825" w:rsidRPr="00C55048">
        <w:rPr>
          <w:bCs/>
          <w:sz w:val="24"/>
        </w:rPr>
        <w:t xml:space="preserve"> </w:t>
      </w:r>
      <w:r w:rsidRPr="00C55048">
        <w:rPr>
          <w:bCs/>
          <w:sz w:val="24"/>
          <w:szCs w:val="24"/>
        </w:rPr>
        <w:t>Her eğitim-öğretim yılı başında Üniversitemize</w:t>
      </w:r>
      <w:r w:rsidR="009A4AFF" w:rsidRPr="00C55048">
        <w:rPr>
          <w:bCs/>
          <w:sz w:val="24"/>
          <w:szCs w:val="24"/>
        </w:rPr>
        <w:t xml:space="preserve"> </w:t>
      </w:r>
      <w:r w:rsidR="009A4AFF" w:rsidRPr="00C55048">
        <w:rPr>
          <w:sz w:val="24"/>
          <w:szCs w:val="24"/>
        </w:rPr>
        <w:t xml:space="preserve">merkezi yerleştirme (ÖSYS/YKS) ve özel yetenek sınav sonucu yeni kayıt yaptıran </w:t>
      </w:r>
      <w:r w:rsidRPr="00C55048">
        <w:rPr>
          <w:bCs/>
          <w:sz w:val="24"/>
          <w:szCs w:val="24"/>
        </w:rPr>
        <w:t xml:space="preserve">öğrencilere ortak zorunlu ders olarak verilen yabancı dil dersi ve Senato tarafından belirlenen diğer </w:t>
      </w:r>
      <w:r w:rsidRPr="009A4AFF">
        <w:rPr>
          <w:bCs/>
          <w:sz w:val="24"/>
          <w:szCs w:val="24"/>
        </w:rPr>
        <w:t>dersler</w:t>
      </w:r>
      <w:r w:rsidR="00A72B97">
        <w:rPr>
          <w:bCs/>
          <w:sz w:val="24"/>
          <w:szCs w:val="24"/>
        </w:rPr>
        <w:t xml:space="preserve"> için</w:t>
      </w:r>
      <w:r w:rsidRPr="009A4AFF">
        <w:rPr>
          <w:bCs/>
          <w:sz w:val="24"/>
          <w:szCs w:val="24"/>
        </w:rPr>
        <w:t xml:space="preserve"> muafiyet sınavı uygulanır. Bu muafiyet sınavları eğitim-öğretim yılının başlamasından</w:t>
      </w:r>
      <w:r w:rsidRPr="008A2D42">
        <w:rPr>
          <w:bCs/>
          <w:sz w:val="24"/>
        </w:rPr>
        <w:t xml:space="preserve"> itibaren bir ay içerisinde yapılır. Bu sınavda alınan not GNO hesaplamasına dâhil edilir. </w:t>
      </w:r>
    </w:p>
    <w:p w14:paraId="355CFBA6" w14:textId="3AAAF4B7" w:rsidR="00351BB2" w:rsidRDefault="008A2D42" w:rsidP="001E7825">
      <w:pPr>
        <w:spacing w:line="360" w:lineRule="auto"/>
        <w:ind w:left="720"/>
        <w:jc w:val="both"/>
        <w:rPr>
          <w:bCs/>
          <w:sz w:val="24"/>
        </w:rPr>
      </w:pPr>
      <w:r w:rsidRPr="008A2D42">
        <w:rPr>
          <w:bCs/>
          <w:sz w:val="24"/>
        </w:rPr>
        <w:t>(1</w:t>
      </w:r>
      <w:r w:rsidR="009D0380">
        <w:rPr>
          <w:bCs/>
          <w:sz w:val="24"/>
        </w:rPr>
        <w:t>1</w:t>
      </w:r>
      <w:r w:rsidRPr="008A2D42">
        <w:rPr>
          <w:bCs/>
          <w:sz w:val="24"/>
        </w:rPr>
        <w:t>)</w:t>
      </w:r>
      <w:r w:rsidR="001E7825">
        <w:rPr>
          <w:bCs/>
          <w:sz w:val="24"/>
        </w:rPr>
        <w:t xml:space="preserve"> </w:t>
      </w:r>
      <w:r w:rsidRPr="008A2D42">
        <w:rPr>
          <w:bCs/>
          <w:sz w:val="24"/>
        </w:rPr>
        <w:t>Staj muafiyet taleplerinde sadece; daha önce müfredatı kapsamında staj yapılan program, devam edilen programla aynı düzeydeyse (lisans, ön lisans gibi) ve stajlar eşdeğer mesleki tanıma sahipse (örneğin Elektrik-Elektronik Mühendisliği, Makine Teknikerliği gibi), stajın kapsamına ve iş günü sayısına göre devam edilen programdaki stajlardan kısmen veya tamamen muaf olunabilir. Aynı düzeye veya eşdeğer mesleki tanıma sahip olmayan</w:t>
      </w:r>
      <w:r w:rsidR="001E7825">
        <w:rPr>
          <w:bCs/>
          <w:sz w:val="24"/>
        </w:rPr>
        <w:t xml:space="preserve"> </w:t>
      </w:r>
      <w:r w:rsidR="001E7825" w:rsidRPr="001E7825">
        <w:rPr>
          <w:bCs/>
          <w:sz w:val="24"/>
        </w:rPr>
        <w:t>programlarda yapılan stajlar için muafiyet talepleri kabul edilmez.</w:t>
      </w:r>
    </w:p>
    <w:p w14:paraId="109B000C" w14:textId="172828F7" w:rsidR="00A91C9C" w:rsidRDefault="00A91C9C" w:rsidP="00A91C9C">
      <w:pPr>
        <w:spacing w:line="360" w:lineRule="auto"/>
        <w:ind w:left="720"/>
        <w:jc w:val="center"/>
        <w:rPr>
          <w:b/>
          <w:sz w:val="24"/>
        </w:rPr>
      </w:pPr>
      <w:r w:rsidRPr="00A91C9C">
        <w:rPr>
          <w:b/>
          <w:sz w:val="24"/>
        </w:rPr>
        <w:t>ÜÇÜNCÜ BÖLÜM</w:t>
      </w:r>
    </w:p>
    <w:p w14:paraId="7D540F9F" w14:textId="77777777" w:rsidR="00A91C9C" w:rsidRDefault="00A91C9C" w:rsidP="00A91C9C">
      <w:pPr>
        <w:spacing w:line="360" w:lineRule="auto"/>
        <w:ind w:left="720"/>
        <w:jc w:val="center"/>
        <w:rPr>
          <w:b/>
          <w:sz w:val="24"/>
        </w:rPr>
      </w:pPr>
      <w:r w:rsidRPr="001E7825">
        <w:rPr>
          <w:b/>
          <w:sz w:val="24"/>
        </w:rPr>
        <w:t>İntibak yarıyıl/yıllarının tespiti</w:t>
      </w:r>
      <w:r w:rsidRPr="00A91C9C">
        <w:rPr>
          <w:b/>
          <w:sz w:val="24"/>
        </w:rPr>
        <w:t xml:space="preserve">, Dikey Geçişe İlişkin Esaslar </w:t>
      </w:r>
    </w:p>
    <w:p w14:paraId="463A8FD0" w14:textId="04818B9A" w:rsidR="00A91C9C" w:rsidRPr="00A91C9C" w:rsidRDefault="00A91C9C" w:rsidP="00A91C9C">
      <w:pPr>
        <w:spacing w:line="360" w:lineRule="auto"/>
        <w:ind w:left="720"/>
        <w:jc w:val="center"/>
        <w:rPr>
          <w:b/>
          <w:sz w:val="24"/>
        </w:rPr>
      </w:pPr>
      <w:proofErr w:type="gramStart"/>
      <w:r w:rsidRPr="00A91C9C">
        <w:rPr>
          <w:b/>
          <w:sz w:val="24"/>
        </w:rPr>
        <w:t>ve</w:t>
      </w:r>
      <w:proofErr w:type="gramEnd"/>
      <w:r w:rsidRPr="00A91C9C">
        <w:rPr>
          <w:b/>
          <w:sz w:val="24"/>
        </w:rPr>
        <w:t xml:space="preserve"> Başka Kurumlarda Öğrenim</w:t>
      </w:r>
    </w:p>
    <w:p w14:paraId="12320CAF" w14:textId="77777777" w:rsidR="001E7825" w:rsidRDefault="001E7825" w:rsidP="001E7825">
      <w:pPr>
        <w:spacing w:line="360" w:lineRule="auto"/>
        <w:ind w:left="720"/>
        <w:jc w:val="both"/>
        <w:rPr>
          <w:b/>
          <w:sz w:val="24"/>
        </w:rPr>
      </w:pPr>
      <w:bookmarkStart w:id="2" w:name="_Hlk176863440"/>
      <w:r w:rsidRPr="001E7825">
        <w:rPr>
          <w:b/>
          <w:sz w:val="24"/>
        </w:rPr>
        <w:t>İntibak yarıyıl/yıllarının tespiti</w:t>
      </w:r>
    </w:p>
    <w:bookmarkEnd w:id="2"/>
    <w:p w14:paraId="2D637778" w14:textId="670121E8" w:rsidR="009723C7" w:rsidRDefault="001E7825" w:rsidP="001E7825">
      <w:pPr>
        <w:spacing w:line="360" w:lineRule="auto"/>
        <w:ind w:left="720"/>
        <w:jc w:val="both"/>
        <w:rPr>
          <w:bCs/>
          <w:sz w:val="24"/>
        </w:rPr>
      </w:pPr>
      <w:r w:rsidRPr="001E7825">
        <w:rPr>
          <w:b/>
          <w:sz w:val="24"/>
        </w:rPr>
        <w:t>MADDE 7-</w:t>
      </w:r>
      <w:r w:rsidRPr="001E7825">
        <w:rPr>
          <w:bCs/>
          <w:sz w:val="24"/>
        </w:rPr>
        <w:t xml:space="preserve"> (1) Öğrencilerin muaf olacakları dersler belirlendikten sonra sınıf intibakları yapılır. </w:t>
      </w:r>
      <w:r w:rsidR="009723C7" w:rsidRPr="009723C7">
        <w:rPr>
          <w:bCs/>
          <w:sz w:val="24"/>
        </w:rPr>
        <w:t xml:space="preserve">Öğrencinin başarılı sayıldığı derslerin AKTS toplamı üzerinden intibak ettirileceği sınıf belirlenir. Dikey geçiş yapan öğrenciler hariç AKTS toplamı 15 ila 60 olması durumunda 2. sınıfa, 61 ila 120 olması durumunda 3. sınıfa, 121 ve üzeri olması durumunda 4. sınıfa öğrencinin intibakı yapılır. Derslerden başarılı sayılma talepleri en geç eğitim-öğretim döneminin başlangıcını takip eden üçüncü haftanın sonuna kadar karara bağlanır. Bu sürede öğrenci alacağı derslere devam eder. İlgili öğrenci intibakının yapıldığı eğitim-öğretim döneminden önceki ve bulunduğu yarıyıllarında en fazla 40 AKTS toplamı kadar ders alabilir. </w:t>
      </w:r>
    </w:p>
    <w:p w14:paraId="317EA0AB" w14:textId="77777777" w:rsidR="00520FEB" w:rsidRDefault="00520FEB" w:rsidP="001E7825">
      <w:pPr>
        <w:spacing w:line="360" w:lineRule="auto"/>
        <w:ind w:left="720"/>
        <w:jc w:val="both"/>
        <w:rPr>
          <w:bCs/>
          <w:sz w:val="24"/>
        </w:rPr>
      </w:pPr>
    </w:p>
    <w:p w14:paraId="15B50CC0" w14:textId="5BEAF203" w:rsidR="007035F0" w:rsidRDefault="001E7825" w:rsidP="001E7825">
      <w:pPr>
        <w:spacing w:line="360" w:lineRule="auto"/>
        <w:ind w:left="720"/>
        <w:jc w:val="both"/>
        <w:rPr>
          <w:bCs/>
          <w:sz w:val="24"/>
        </w:rPr>
      </w:pPr>
      <w:r w:rsidRPr="001E7825">
        <w:rPr>
          <w:bCs/>
          <w:sz w:val="24"/>
        </w:rPr>
        <w:t xml:space="preserve">(2) Kurumlar arası ve kurum içi (başarı durumuna göre) yatay geçişle kayıt yaptıran öğrencilerin </w:t>
      </w:r>
      <w:r w:rsidRPr="001E7825">
        <w:rPr>
          <w:bCs/>
          <w:sz w:val="24"/>
        </w:rPr>
        <w:lastRenderedPageBreak/>
        <w:t>intibakları, yatay geçiş yaptıkları sınıfın ilgili yarıyılına/yılına; Dikey Geçiş Sınavı ile Üniversiteye kayıt yaptıran öğrencilerin intibakları 3. sınıfa yapılır.</w:t>
      </w:r>
    </w:p>
    <w:p w14:paraId="5747D715" w14:textId="012425CE" w:rsidR="00095D5F" w:rsidRDefault="00EF1A9A" w:rsidP="00095D5F">
      <w:pPr>
        <w:spacing w:line="360" w:lineRule="auto"/>
        <w:ind w:left="720"/>
        <w:jc w:val="both"/>
        <w:rPr>
          <w:bCs/>
          <w:sz w:val="24"/>
        </w:rPr>
      </w:pPr>
      <w:r>
        <w:rPr>
          <w:bCs/>
          <w:sz w:val="24"/>
        </w:rPr>
        <w:t xml:space="preserve">(3) </w:t>
      </w:r>
      <w:r w:rsidRPr="00EF1A9A">
        <w:rPr>
          <w:bCs/>
          <w:sz w:val="24"/>
        </w:rPr>
        <w:t xml:space="preserve">Öğrencinin, daha önceki yükseköğrenim kurumundan almış olduğu Türk Dili, Atatürk İlkeleri ve İnkılap Tarihi ile İngilizce derslerinden en az CC harf notuna sahip olanlar veya geçer/yeterli/muaf başarı notuna sahip olanların bu notu CC harf notu olarak değerlendirilir. Bu derslere ilişkin daha önce alınan ve bu fıkrada sözü edilen başarı notlarının haricindeki başarı notları ise </w:t>
      </w:r>
      <w:r>
        <w:rPr>
          <w:bCs/>
          <w:sz w:val="24"/>
        </w:rPr>
        <w:t xml:space="preserve">Üniversitemiz Ön Lisans ve Lisans Eğitim-Öğretim ve Sınav Yönetmeliğinin </w:t>
      </w:r>
      <w:r w:rsidRPr="00EF1A9A">
        <w:rPr>
          <w:bCs/>
          <w:sz w:val="24"/>
        </w:rPr>
        <w:t>25 inci madde</w:t>
      </w:r>
      <w:r>
        <w:rPr>
          <w:bCs/>
          <w:sz w:val="24"/>
        </w:rPr>
        <w:t>si</w:t>
      </w:r>
      <w:r w:rsidRPr="00EF1A9A">
        <w:rPr>
          <w:bCs/>
          <w:sz w:val="24"/>
        </w:rPr>
        <w:t>nin birinci fıkrasındaki notlara dönüştürülerek derslerin intibakları birim yönetim kurulu ile karara bağlanarak</w:t>
      </w:r>
      <w:r>
        <w:rPr>
          <w:bCs/>
          <w:sz w:val="24"/>
        </w:rPr>
        <w:t xml:space="preserve"> öğrencinin</w:t>
      </w:r>
      <w:r w:rsidRPr="00EF1A9A">
        <w:rPr>
          <w:bCs/>
          <w:sz w:val="24"/>
        </w:rPr>
        <w:t xml:space="preserve"> transkriptine işlenir ve GNO</w:t>
      </w:r>
      <w:r w:rsidR="00E81CAE">
        <w:rPr>
          <w:bCs/>
          <w:sz w:val="24"/>
        </w:rPr>
        <w:t xml:space="preserve"> hesaplamasına</w:t>
      </w:r>
      <w:r w:rsidRPr="00EF1A9A">
        <w:rPr>
          <w:bCs/>
          <w:sz w:val="24"/>
        </w:rPr>
        <w:t xml:space="preserve"> dâhil edilir.</w:t>
      </w:r>
    </w:p>
    <w:p w14:paraId="42BE1197" w14:textId="77777777" w:rsidR="002A7682" w:rsidRDefault="002A7682" w:rsidP="00095D5F">
      <w:pPr>
        <w:spacing w:line="360" w:lineRule="auto"/>
        <w:ind w:left="720"/>
        <w:jc w:val="both"/>
        <w:rPr>
          <w:bCs/>
          <w:sz w:val="24"/>
        </w:rPr>
      </w:pPr>
      <w:r w:rsidRPr="002A7682">
        <w:rPr>
          <w:b/>
          <w:sz w:val="24"/>
        </w:rPr>
        <w:t xml:space="preserve">Dikey Geçişe İlişkin Esaslar </w:t>
      </w:r>
    </w:p>
    <w:p w14:paraId="3F15744C" w14:textId="658FAB31" w:rsidR="002A7682" w:rsidRDefault="002A7682" w:rsidP="002A7682">
      <w:pPr>
        <w:spacing w:line="360" w:lineRule="auto"/>
        <w:ind w:left="720"/>
        <w:jc w:val="both"/>
        <w:rPr>
          <w:bCs/>
          <w:sz w:val="24"/>
        </w:rPr>
      </w:pPr>
      <w:r w:rsidRPr="002A7682">
        <w:rPr>
          <w:b/>
          <w:sz w:val="24"/>
        </w:rPr>
        <w:t xml:space="preserve">MADDE </w:t>
      </w:r>
      <w:r w:rsidR="00E81CAE">
        <w:rPr>
          <w:b/>
          <w:sz w:val="24"/>
        </w:rPr>
        <w:t>8</w:t>
      </w:r>
      <w:r w:rsidRPr="002A7682">
        <w:rPr>
          <w:bCs/>
          <w:sz w:val="24"/>
        </w:rPr>
        <w:t xml:space="preserve">- (1) Dikey Geçiş Sınavı sonucunda lisans öğrenimine başlama hakkını elde eden öğrenciler hakkında, Meslek Yüksekokulları ve </w:t>
      </w:r>
      <w:r w:rsidR="001D184C" w:rsidRPr="002A7682">
        <w:rPr>
          <w:bCs/>
          <w:sz w:val="24"/>
        </w:rPr>
        <w:t>Açık öğretim</w:t>
      </w:r>
      <w:r w:rsidRPr="002A7682">
        <w:rPr>
          <w:bCs/>
          <w:sz w:val="24"/>
        </w:rPr>
        <w:t xml:space="preserve"> </w:t>
      </w:r>
      <w:r w:rsidR="001D184C" w:rsidRPr="002A7682">
        <w:rPr>
          <w:bCs/>
          <w:sz w:val="24"/>
        </w:rPr>
        <w:t>Ön lisans</w:t>
      </w:r>
      <w:r w:rsidRPr="002A7682">
        <w:rPr>
          <w:bCs/>
          <w:sz w:val="24"/>
        </w:rPr>
        <w:t xml:space="preserve"> Programları Mezunlarının Lisans Öğrenimine Devamları Hakkında Yönetmelik hükümleri uygulanır. </w:t>
      </w:r>
    </w:p>
    <w:p w14:paraId="3E9C8362" w14:textId="4B7AE85F" w:rsidR="002A7682" w:rsidRDefault="002A7682" w:rsidP="002A7682">
      <w:pPr>
        <w:spacing w:line="360" w:lineRule="auto"/>
        <w:ind w:left="720"/>
        <w:jc w:val="both"/>
        <w:rPr>
          <w:bCs/>
          <w:sz w:val="24"/>
        </w:rPr>
      </w:pPr>
      <w:r w:rsidRPr="002A7682">
        <w:rPr>
          <w:bCs/>
          <w:sz w:val="24"/>
        </w:rPr>
        <w:t>(2) Lisans öğrenimine başlama hakkı elde eden öğrencilerin ön</w:t>
      </w:r>
      <w:r w:rsidR="009D0380">
        <w:rPr>
          <w:bCs/>
          <w:sz w:val="24"/>
        </w:rPr>
        <w:t xml:space="preserve"> </w:t>
      </w:r>
      <w:r w:rsidR="00F81408">
        <w:rPr>
          <w:bCs/>
          <w:sz w:val="24"/>
        </w:rPr>
        <w:t>l</w:t>
      </w:r>
      <w:r w:rsidRPr="002A7682">
        <w:rPr>
          <w:bCs/>
          <w:sz w:val="24"/>
        </w:rPr>
        <w:t xml:space="preserve">isans eğitimi sırasında almış oldukları derslerden eş değer kabul edilenler için, Birim Muafiyet ve İntibak Komisyonları tarafından incelenerek yönetim kurulu kararı ile muafiyet verilir. Yönergenin </w:t>
      </w:r>
      <w:r>
        <w:rPr>
          <w:bCs/>
          <w:sz w:val="24"/>
        </w:rPr>
        <w:t>7 inci</w:t>
      </w:r>
      <w:r w:rsidRPr="002A7682">
        <w:rPr>
          <w:bCs/>
          <w:sz w:val="24"/>
        </w:rPr>
        <w:t xml:space="preserve"> maddesinin </w:t>
      </w:r>
      <w:r>
        <w:rPr>
          <w:bCs/>
          <w:sz w:val="24"/>
        </w:rPr>
        <w:t>ikinci</w:t>
      </w:r>
      <w:r w:rsidRPr="002A7682">
        <w:rPr>
          <w:bCs/>
          <w:sz w:val="24"/>
        </w:rPr>
        <w:t xml:space="preserve"> fıkrasına göre öğrencinin alması gereken dersler belirlenerek programa kaydı yapılır, öğrenciye eğitime devam hakkı verilir.  </w:t>
      </w:r>
    </w:p>
    <w:p w14:paraId="4B60EE74" w14:textId="60A8B2E1" w:rsidR="00095D5F" w:rsidRPr="00095D5F" w:rsidRDefault="001E7825" w:rsidP="00095D5F">
      <w:pPr>
        <w:spacing w:line="360" w:lineRule="auto"/>
        <w:ind w:left="720"/>
        <w:jc w:val="both"/>
        <w:rPr>
          <w:b/>
          <w:sz w:val="24"/>
        </w:rPr>
      </w:pPr>
      <w:r w:rsidRPr="00095D5F">
        <w:rPr>
          <w:b/>
          <w:sz w:val="24"/>
        </w:rPr>
        <w:t xml:space="preserve">Başka kurumlarda öğrenim gören öğrencilere ait muafiyet esasları </w:t>
      </w:r>
    </w:p>
    <w:p w14:paraId="7743C59E" w14:textId="4EE77C09" w:rsidR="002A7682" w:rsidRDefault="001E7825" w:rsidP="00095D5F">
      <w:pPr>
        <w:spacing w:line="360" w:lineRule="auto"/>
        <w:ind w:left="720"/>
        <w:jc w:val="both"/>
        <w:rPr>
          <w:bCs/>
          <w:sz w:val="24"/>
        </w:rPr>
      </w:pPr>
      <w:r w:rsidRPr="00095D5F">
        <w:rPr>
          <w:b/>
          <w:sz w:val="24"/>
        </w:rPr>
        <w:t xml:space="preserve">MADDE </w:t>
      </w:r>
      <w:r w:rsidR="00E81CAE">
        <w:rPr>
          <w:b/>
          <w:sz w:val="24"/>
        </w:rPr>
        <w:t>9</w:t>
      </w:r>
      <w:r w:rsidRPr="001E7825">
        <w:rPr>
          <w:bCs/>
          <w:sz w:val="24"/>
        </w:rPr>
        <w:t xml:space="preserve">- (1) </w:t>
      </w:r>
      <w:r w:rsidR="002A7682" w:rsidRPr="002A7682">
        <w:rPr>
          <w:bCs/>
          <w:sz w:val="24"/>
        </w:rPr>
        <w:t xml:space="preserve">Üniversitemiz programlarından birine kayıtlı iken, YÖK tarafından denkliği kabul edilen başka bir yükseköğretim kurumunun programlarında özel öğrenci statüsünde ders alan ve ulusal veya uluslararası değişim programları ile yurt dışında öğrenim gören </w:t>
      </w:r>
      <w:r w:rsidR="002A7682">
        <w:rPr>
          <w:bCs/>
          <w:sz w:val="24"/>
        </w:rPr>
        <w:t xml:space="preserve">Adıyaman </w:t>
      </w:r>
      <w:r w:rsidR="002A7682" w:rsidRPr="002A7682">
        <w:rPr>
          <w:bCs/>
          <w:sz w:val="24"/>
        </w:rPr>
        <w:t>Üniversitesi öğrencileri için harf notları aynen geçerlidir.</w:t>
      </w:r>
    </w:p>
    <w:p w14:paraId="2629EF5E" w14:textId="0B75DA33" w:rsidR="00A91C9C" w:rsidRDefault="00A91C9C" w:rsidP="00A91C9C">
      <w:pPr>
        <w:spacing w:line="360" w:lineRule="auto"/>
        <w:ind w:left="720"/>
        <w:jc w:val="center"/>
        <w:rPr>
          <w:b/>
          <w:sz w:val="24"/>
        </w:rPr>
      </w:pPr>
      <w:r>
        <w:rPr>
          <w:b/>
          <w:sz w:val="24"/>
        </w:rPr>
        <w:t>DÖRDÜNCÜ BÖLÜM</w:t>
      </w:r>
    </w:p>
    <w:p w14:paraId="79A2C7A6" w14:textId="08681431" w:rsidR="002A7682" w:rsidRPr="00A91C9C" w:rsidRDefault="00A91C9C" w:rsidP="00A91C9C">
      <w:pPr>
        <w:spacing w:line="360" w:lineRule="auto"/>
        <w:ind w:left="720"/>
        <w:jc w:val="center"/>
        <w:rPr>
          <w:b/>
          <w:sz w:val="24"/>
        </w:rPr>
      </w:pPr>
      <w:r w:rsidRPr="00A91C9C">
        <w:rPr>
          <w:b/>
          <w:sz w:val="24"/>
        </w:rPr>
        <w:t>Hüküm Bulunmayan Haller, Yürürlük ve Yürütme</w:t>
      </w:r>
    </w:p>
    <w:p w14:paraId="76081F4F" w14:textId="77777777" w:rsidR="00A91C9C" w:rsidRDefault="001E7825" w:rsidP="00095D5F">
      <w:pPr>
        <w:spacing w:line="360" w:lineRule="auto"/>
        <w:ind w:left="720"/>
        <w:jc w:val="both"/>
        <w:rPr>
          <w:bCs/>
          <w:sz w:val="24"/>
        </w:rPr>
      </w:pPr>
      <w:r w:rsidRPr="00A91C9C">
        <w:rPr>
          <w:b/>
          <w:sz w:val="24"/>
        </w:rPr>
        <w:t>Hüküm bulunmayan haller</w:t>
      </w:r>
    </w:p>
    <w:p w14:paraId="4E5FA54E" w14:textId="5EDF917F" w:rsidR="00A91C9C" w:rsidRDefault="001E7825" w:rsidP="00095D5F">
      <w:pPr>
        <w:spacing w:line="360" w:lineRule="auto"/>
        <w:ind w:left="720"/>
        <w:jc w:val="both"/>
        <w:rPr>
          <w:bCs/>
          <w:sz w:val="24"/>
        </w:rPr>
      </w:pPr>
      <w:r w:rsidRPr="00A91C9C">
        <w:rPr>
          <w:b/>
          <w:sz w:val="24"/>
        </w:rPr>
        <w:t xml:space="preserve">MADDE </w:t>
      </w:r>
      <w:r w:rsidR="00E81CAE">
        <w:rPr>
          <w:b/>
          <w:sz w:val="24"/>
        </w:rPr>
        <w:t>10</w:t>
      </w:r>
      <w:r w:rsidRPr="001E7825">
        <w:rPr>
          <w:bCs/>
          <w:sz w:val="24"/>
        </w:rPr>
        <w:t xml:space="preserve">- (1) Bu Yönergede hüküm bulunmayan hallerde ilgili diğer mevzuat hükümleri ve Senato kararları uygulanır. </w:t>
      </w:r>
    </w:p>
    <w:p w14:paraId="5B711BD7" w14:textId="77777777" w:rsidR="00A91C9C" w:rsidRPr="00A91C9C" w:rsidRDefault="001E7825" w:rsidP="00095D5F">
      <w:pPr>
        <w:spacing w:line="360" w:lineRule="auto"/>
        <w:ind w:left="720"/>
        <w:jc w:val="both"/>
        <w:rPr>
          <w:b/>
          <w:sz w:val="24"/>
        </w:rPr>
      </w:pPr>
      <w:r w:rsidRPr="00A91C9C">
        <w:rPr>
          <w:b/>
          <w:sz w:val="24"/>
        </w:rPr>
        <w:t xml:space="preserve">Yürürlük </w:t>
      </w:r>
    </w:p>
    <w:p w14:paraId="541573BC" w14:textId="6EED7A05" w:rsidR="00A91C9C" w:rsidRDefault="001E7825" w:rsidP="00095D5F">
      <w:pPr>
        <w:spacing w:line="360" w:lineRule="auto"/>
        <w:ind w:left="720"/>
        <w:jc w:val="both"/>
        <w:rPr>
          <w:bCs/>
          <w:sz w:val="24"/>
        </w:rPr>
      </w:pPr>
      <w:r w:rsidRPr="00A91C9C">
        <w:rPr>
          <w:b/>
          <w:sz w:val="24"/>
        </w:rPr>
        <w:t>MADDE 1</w:t>
      </w:r>
      <w:r w:rsidR="00E81CAE">
        <w:rPr>
          <w:b/>
          <w:sz w:val="24"/>
        </w:rPr>
        <w:t>1</w:t>
      </w:r>
      <w:r w:rsidRPr="001E7825">
        <w:rPr>
          <w:bCs/>
          <w:sz w:val="24"/>
        </w:rPr>
        <w:t>-</w:t>
      </w:r>
      <w:r w:rsidR="00A91C9C">
        <w:rPr>
          <w:bCs/>
          <w:sz w:val="24"/>
        </w:rPr>
        <w:t xml:space="preserve"> </w:t>
      </w:r>
      <w:r w:rsidRPr="001E7825">
        <w:rPr>
          <w:bCs/>
          <w:sz w:val="24"/>
        </w:rPr>
        <w:t xml:space="preserve">(1) Bu Yönerge </w:t>
      </w:r>
      <w:r w:rsidR="00A91C9C">
        <w:rPr>
          <w:bCs/>
          <w:sz w:val="24"/>
        </w:rPr>
        <w:t>Adıyaman</w:t>
      </w:r>
      <w:r w:rsidRPr="001E7825">
        <w:rPr>
          <w:bCs/>
          <w:sz w:val="24"/>
        </w:rPr>
        <w:t xml:space="preserve"> Üniversitesi Senatosunda kabul edildikten sonra yürürlüğe girer. </w:t>
      </w:r>
    </w:p>
    <w:p w14:paraId="6849DB59" w14:textId="53A75270" w:rsidR="001E7825" w:rsidRDefault="001E7825" w:rsidP="00095D5F">
      <w:pPr>
        <w:spacing w:line="360" w:lineRule="auto"/>
        <w:ind w:left="720"/>
        <w:jc w:val="both"/>
        <w:rPr>
          <w:bCs/>
          <w:sz w:val="24"/>
        </w:rPr>
      </w:pPr>
      <w:r w:rsidRPr="00A91C9C">
        <w:rPr>
          <w:b/>
          <w:sz w:val="24"/>
        </w:rPr>
        <w:t>Yürütme MADDE 1</w:t>
      </w:r>
      <w:r w:rsidR="00E81CAE">
        <w:rPr>
          <w:b/>
          <w:sz w:val="24"/>
        </w:rPr>
        <w:t>2</w:t>
      </w:r>
      <w:r w:rsidRPr="001E7825">
        <w:rPr>
          <w:bCs/>
          <w:sz w:val="24"/>
        </w:rPr>
        <w:t xml:space="preserve">- (1) Bu Yönerge hükümlerini </w:t>
      </w:r>
      <w:r w:rsidR="00A91C9C">
        <w:rPr>
          <w:bCs/>
          <w:sz w:val="24"/>
        </w:rPr>
        <w:t>Adıyaman</w:t>
      </w:r>
      <w:r w:rsidRPr="001E7825">
        <w:rPr>
          <w:bCs/>
          <w:sz w:val="24"/>
        </w:rPr>
        <w:t xml:space="preserve"> Üniversitesi Rektörü yürütür.</w:t>
      </w:r>
    </w:p>
    <w:tbl>
      <w:tblPr>
        <w:tblStyle w:val="TabloKlavuzu"/>
        <w:tblW w:w="0" w:type="auto"/>
        <w:tblInd w:w="720" w:type="dxa"/>
        <w:tblLook w:val="04A0" w:firstRow="1" w:lastRow="0" w:firstColumn="1" w:lastColumn="0" w:noHBand="0" w:noVBand="1"/>
      </w:tblPr>
      <w:tblGrid>
        <w:gridCol w:w="4284"/>
        <w:gridCol w:w="2559"/>
        <w:gridCol w:w="2417"/>
      </w:tblGrid>
      <w:tr w:rsidR="001D184C" w14:paraId="3209DE0A" w14:textId="77777777" w:rsidTr="00C308A9">
        <w:tc>
          <w:tcPr>
            <w:tcW w:w="9260" w:type="dxa"/>
            <w:gridSpan w:val="3"/>
          </w:tcPr>
          <w:p w14:paraId="4B4BB274" w14:textId="7319CBCE" w:rsidR="001D184C" w:rsidRPr="001D184C" w:rsidRDefault="001D184C" w:rsidP="001D184C">
            <w:pPr>
              <w:spacing w:line="360" w:lineRule="auto"/>
              <w:jc w:val="center"/>
              <w:rPr>
                <w:b/>
                <w:bCs/>
                <w:sz w:val="24"/>
              </w:rPr>
            </w:pPr>
            <w:r w:rsidRPr="001D184C">
              <w:rPr>
                <w:b/>
              </w:rPr>
              <w:t>Yönergenin Kabul Edildiği Senato Toplantısının</w:t>
            </w:r>
          </w:p>
        </w:tc>
      </w:tr>
      <w:tr w:rsidR="001D184C" w14:paraId="06AC7E4C" w14:textId="77777777" w:rsidTr="001D184C">
        <w:tc>
          <w:tcPr>
            <w:tcW w:w="4284" w:type="dxa"/>
          </w:tcPr>
          <w:p w14:paraId="6AC0078E" w14:textId="62FE6F84" w:rsidR="001D184C" w:rsidRDefault="001D184C" w:rsidP="00095D5F">
            <w:pPr>
              <w:spacing w:line="360" w:lineRule="auto"/>
              <w:jc w:val="both"/>
              <w:rPr>
                <w:bCs/>
                <w:sz w:val="24"/>
              </w:rPr>
            </w:pPr>
            <w:r>
              <w:rPr>
                <w:bCs/>
                <w:sz w:val="24"/>
              </w:rPr>
              <w:t>12.09.2024</w:t>
            </w:r>
          </w:p>
        </w:tc>
        <w:tc>
          <w:tcPr>
            <w:tcW w:w="2559" w:type="dxa"/>
          </w:tcPr>
          <w:p w14:paraId="00529C03" w14:textId="31A695C8" w:rsidR="001D184C" w:rsidRDefault="001D184C" w:rsidP="00095D5F">
            <w:pPr>
              <w:spacing w:line="360" w:lineRule="auto"/>
              <w:jc w:val="both"/>
              <w:rPr>
                <w:bCs/>
                <w:sz w:val="24"/>
              </w:rPr>
            </w:pPr>
            <w:r>
              <w:rPr>
                <w:bCs/>
                <w:sz w:val="24"/>
              </w:rPr>
              <w:t>18</w:t>
            </w:r>
          </w:p>
        </w:tc>
        <w:tc>
          <w:tcPr>
            <w:tcW w:w="2417" w:type="dxa"/>
          </w:tcPr>
          <w:p w14:paraId="7C37E080" w14:textId="2CA7F08F" w:rsidR="001D184C" w:rsidRDefault="001D184C" w:rsidP="00095D5F">
            <w:pPr>
              <w:spacing w:line="360" w:lineRule="auto"/>
              <w:jc w:val="both"/>
              <w:rPr>
                <w:bCs/>
                <w:sz w:val="24"/>
              </w:rPr>
            </w:pPr>
            <w:r>
              <w:t>45929520-l</w:t>
            </w:r>
            <w:r>
              <w:t>8-03</w:t>
            </w:r>
          </w:p>
        </w:tc>
      </w:tr>
    </w:tbl>
    <w:p w14:paraId="3B06D8AB" w14:textId="61E67C5D" w:rsidR="00351BB2" w:rsidRDefault="00351BB2" w:rsidP="00520FEB">
      <w:pPr>
        <w:pStyle w:val="GvdeMetni"/>
        <w:spacing w:before="73" w:line="362" w:lineRule="auto"/>
      </w:pPr>
    </w:p>
    <w:sectPr w:rsidR="00351BB2">
      <w:footerReference w:type="default" r:id="rId7"/>
      <w:pgSz w:w="11910" w:h="16840"/>
      <w:pgMar w:top="1040" w:right="960" w:bottom="1080" w:left="960" w:header="0" w:footer="89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96A81" w14:textId="77777777" w:rsidR="0056227F" w:rsidRDefault="0056227F">
      <w:r>
        <w:separator/>
      </w:r>
    </w:p>
  </w:endnote>
  <w:endnote w:type="continuationSeparator" w:id="0">
    <w:p w14:paraId="08DE3EE0" w14:textId="77777777" w:rsidR="0056227F" w:rsidRDefault="0056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1968B" w14:textId="77777777" w:rsidR="009E1FF2" w:rsidRDefault="002A492B">
    <w:pPr>
      <w:pStyle w:val="GvdeMetni"/>
      <w:spacing w:line="14" w:lineRule="auto"/>
      <w:rPr>
        <w:sz w:val="20"/>
      </w:rPr>
    </w:pPr>
    <w:r>
      <w:rPr>
        <w:noProof/>
        <w:lang w:eastAsia="tr-TR"/>
      </w:rPr>
      <mc:AlternateContent>
        <mc:Choice Requires="wps">
          <w:drawing>
            <wp:anchor distT="0" distB="0" distL="0" distR="0" simplePos="0" relativeHeight="487500800" behindDoc="1" locked="0" layoutInCell="1" allowOverlap="1" wp14:anchorId="7B46BFFC" wp14:editId="64402519">
              <wp:simplePos x="0" y="0"/>
              <wp:positionH relativeFrom="page">
                <wp:posOffset>3557142</wp:posOffset>
              </wp:positionH>
              <wp:positionV relativeFrom="page">
                <wp:posOffset>9984766</wp:posOffset>
              </wp:positionV>
              <wp:extent cx="629285" cy="1809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285" cy="180975"/>
                      </a:xfrm>
                      <a:prstGeom prst="rect">
                        <a:avLst/>
                      </a:prstGeom>
                    </wps:spPr>
                    <wps:txbx>
                      <w:txbxContent>
                        <w:p w14:paraId="46C05272" w14:textId="77777777" w:rsidR="009E1FF2" w:rsidRDefault="002A492B">
                          <w:pPr>
                            <w:spacing w:before="11"/>
                            <w:ind w:left="20"/>
                            <w:rPr>
                              <w:b/>
                            </w:rPr>
                          </w:pPr>
                          <w:r>
                            <w:t>Sayfa</w:t>
                          </w:r>
                          <w:r>
                            <w:rPr>
                              <w:spacing w:val="-2"/>
                            </w:rPr>
                            <w:t xml:space="preserve"> </w:t>
                          </w:r>
                          <w:r>
                            <w:rPr>
                              <w:b/>
                            </w:rPr>
                            <w:t xml:space="preserve">5 </w:t>
                          </w:r>
                          <w:r>
                            <w:t>/</w:t>
                          </w:r>
                          <w:r>
                            <w:rPr>
                              <w:spacing w:val="1"/>
                            </w:rPr>
                            <w:t xml:space="preserve"> </w:t>
                          </w:r>
                          <w:r>
                            <w:rPr>
                              <w:b/>
                              <w:spacing w:val="-10"/>
                            </w:rPr>
                            <w:t>5</w:t>
                          </w:r>
                        </w:p>
                      </w:txbxContent>
                    </wps:txbx>
                    <wps:bodyPr wrap="square" lIns="0" tIns="0" rIns="0" bIns="0" rtlCol="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B46BFFC" id="_x0000_t202" coordsize="21600,21600" o:spt="202" path="m,l,21600r21600,l21600,xe">
              <v:stroke joinstyle="miter"/>
              <v:path gradientshapeok="t" o:connecttype="rect"/>
            </v:shapetype>
            <v:shape id="Textbox 5" o:spid="_x0000_s1026" type="#_x0000_t202" style="position:absolute;margin-left:280.1pt;margin-top:786.2pt;width:49.55pt;height:14.25pt;z-index:-1581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" filled="f" stroked="f">
              <v:path arrowok="t"/>
              <v:textbox inset="0,0,0,0">
                <w:txbxContent>
                  <w:p w14:paraId="46C05272" w14:textId="77777777" w:rsidR="009E1FF2" w:rsidRDefault="002A492B">
                    <w:pPr>
                      <w:spacing w:before="11"/>
                      <w:ind w:left="20"/>
                      <w:rPr>
                        <w:b/>
                      </w:rPr>
                    </w:pPr>
                    <w:r>
                      <w:t>Sayfa</w:t>
                    </w:r>
                    <w:r>
                      <w:rPr>
                        <w:spacing w:val="-2"/>
                      </w:rPr>
                      <w:t xml:space="preserve"> </w:t>
                    </w:r>
                    <w:r>
                      <w:rPr>
                        <w:b/>
                      </w:rPr>
                      <w:t xml:space="preserve">5 </w:t>
                    </w:r>
                    <w:r>
                      <w:t>/</w:t>
                    </w:r>
                    <w:r>
                      <w:rPr>
                        <w:spacing w:val="1"/>
                      </w:rPr>
                      <w:t xml:space="preserve"> </w:t>
                    </w:r>
                    <w:r>
                      <w:rPr>
                        <w:b/>
                        <w:spacing w:val="-10"/>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A382A" w14:textId="77777777" w:rsidR="0056227F" w:rsidRDefault="0056227F">
      <w:r>
        <w:separator/>
      </w:r>
    </w:p>
  </w:footnote>
  <w:footnote w:type="continuationSeparator" w:id="0">
    <w:p w14:paraId="377554EA" w14:textId="77777777" w:rsidR="0056227F" w:rsidRDefault="005622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5E2424"/>
    <w:multiLevelType w:val="hybridMultilevel"/>
    <w:tmpl w:val="71041042"/>
    <w:lvl w:ilvl="0" w:tplc="2D9E4C58">
      <w:start w:val="1"/>
      <w:numFmt w:val="decimal"/>
      <w:lvlText w:val="(%1)"/>
      <w:lvlJc w:val="left"/>
      <w:pPr>
        <w:ind w:left="1186" w:hanging="360"/>
        <w:jc w:val="right"/>
      </w:pPr>
      <w:rPr>
        <w:rFonts w:ascii="Times New Roman" w:eastAsia="Times New Roman" w:hAnsi="Times New Roman" w:cs="Times New Roman" w:hint="default"/>
        <w:b w:val="0"/>
        <w:bCs w:val="0"/>
        <w:i w:val="0"/>
        <w:iCs w:val="0"/>
        <w:spacing w:val="0"/>
        <w:w w:val="100"/>
        <w:sz w:val="24"/>
        <w:szCs w:val="24"/>
        <w:lang w:val="tr-TR" w:eastAsia="en-US" w:bidi="ar-SA"/>
      </w:rPr>
    </w:lvl>
    <w:lvl w:ilvl="1" w:tplc="20E6A21A">
      <w:start w:val="1"/>
      <w:numFmt w:val="lowerLetter"/>
      <w:lvlText w:val="%2)"/>
      <w:lvlJc w:val="left"/>
      <w:pPr>
        <w:ind w:left="1469" w:hanging="238"/>
      </w:pPr>
      <w:rPr>
        <w:rFonts w:ascii="Times New Roman" w:eastAsia="Times New Roman" w:hAnsi="Times New Roman" w:cs="Times New Roman" w:hint="default"/>
        <w:b w:val="0"/>
        <w:bCs w:val="0"/>
        <w:i w:val="0"/>
        <w:iCs w:val="0"/>
        <w:spacing w:val="-1"/>
        <w:w w:val="100"/>
        <w:sz w:val="24"/>
        <w:szCs w:val="24"/>
        <w:lang w:val="tr-TR" w:eastAsia="en-US" w:bidi="ar-SA"/>
      </w:rPr>
    </w:lvl>
    <w:lvl w:ilvl="2" w:tplc="46EAEE92">
      <w:numFmt w:val="bullet"/>
      <w:lvlText w:val="•"/>
      <w:lvlJc w:val="left"/>
      <w:pPr>
        <w:ind w:left="2407" w:hanging="238"/>
      </w:pPr>
      <w:rPr>
        <w:rFonts w:hint="default"/>
        <w:lang w:val="tr-TR" w:eastAsia="en-US" w:bidi="ar-SA"/>
      </w:rPr>
    </w:lvl>
    <w:lvl w:ilvl="3" w:tplc="D6529F66">
      <w:numFmt w:val="bullet"/>
      <w:lvlText w:val="•"/>
      <w:lvlJc w:val="left"/>
      <w:pPr>
        <w:ind w:left="3354" w:hanging="238"/>
      </w:pPr>
      <w:rPr>
        <w:rFonts w:hint="default"/>
        <w:lang w:val="tr-TR" w:eastAsia="en-US" w:bidi="ar-SA"/>
      </w:rPr>
    </w:lvl>
    <w:lvl w:ilvl="4" w:tplc="73C6EA30">
      <w:numFmt w:val="bullet"/>
      <w:lvlText w:val="•"/>
      <w:lvlJc w:val="left"/>
      <w:pPr>
        <w:ind w:left="4302" w:hanging="238"/>
      </w:pPr>
      <w:rPr>
        <w:rFonts w:hint="default"/>
        <w:lang w:val="tr-TR" w:eastAsia="en-US" w:bidi="ar-SA"/>
      </w:rPr>
    </w:lvl>
    <w:lvl w:ilvl="5" w:tplc="D12AC330">
      <w:numFmt w:val="bullet"/>
      <w:lvlText w:val="•"/>
      <w:lvlJc w:val="left"/>
      <w:pPr>
        <w:ind w:left="5249" w:hanging="238"/>
      </w:pPr>
      <w:rPr>
        <w:rFonts w:hint="default"/>
        <w:lang w:val="tr-TR" w:eastAsia="en-US" w:bidi="ar-SA"/>
      </w:rPr>
    </w:lvl>
    <w:lvl w:ilvl="6" w:tplc="7FFAF8DA">
      <w:numFmt w:val="bullet"/>
      <w:lvlText w:val="•"/>
      <w:lvlJc w:val="left"/>
      <w:pPr>
        <w:ind w:left="6196" w:hanging="238"/>
      </w:pPr>
      <w:rPr>
        <w:rFonts w:hint="default"/>
        <w:lang w:val="tr-TR" w:eastAsia="en-US" w:bidi="ar-SA"/>
      </w:rPr>
    </w:lvl>
    <w:lvl w:ilvl="7" w:tplc="765C4204">
      <w:numFmt w:val="bullet"/>
      <w:lvlText w:val="•"/>
      <w:lvlJc w:val="left"/>
      <w:pPr>
        <w:ind w:left="7144" w:hanging="238"/>
      </w:pPr>
      <w:rPr>
        <w:rFonts w:hint="default"/>
        <w:lang w:val="tr-TR" w:eastAsia="en-US" w:bidi="ar-SA"/>
      </w:rPr>
    </w:lvl>
    <w:lvl w:ilvl="8" w:tplc="290C0CD2">
      <w:numFmt w:val="bullet"/>
      <w:lvlText w:val="•"/>
      <w:lvlJc w:val="left"/>
      <w:pPr>
        <w:ind w:left="8091" w:hanging="238"/>
      </w:pPr>
      <w:rPr>
        <w:rFonts w:hint="default"/>
        <w:lang w:val="tr-TR" w:eastAsia="en-US" w:bidi="ar-SA"/>
      </w:rPr>
    </w:lvl>
  </w:abstractNum>
  <w:abstractNum w:abstractNumId="1" w15:restartNumberingAfterBreak="0">
    <w:nsid w:val="47CE75D7"/>
    <w:multiLevelType w:val="hybridMultilevel"/>
    <w:tmpl w:val="016CDA1C"/>
    <w:lvl w:ilvl="0" w:tplc="03D0A1B2">
      <w:start w:val="2"/>
      <w:numFmt w:val="decimal"/>
      <w:lvlText w:val="(%1)"/>
      <w:lvlJc w:val="left"/>
      <w:pPr>
        <w:ind w:left="1498" w:hanging="389"/>
      </w:pPr>
      <w:rPr>
        <w:rFonts w:ascii="Times New Roman" w:eastAsia="Times New Roman" w:hAnsi="Times New Roman" w:cs="Times New Roman" w:hint="default"/>
        <w:b w:val="0"/>
        <w:bCs w:val="0"/>
        <w:i w:val="0"/>
        <w:iCs w:val="0"/>
        <w:spacing w:val="-1"/>
        <w:w w:val="100"/>
        <w:sz w:val="24"/>
        <w:szCs w:val="24"/>
        <w:lang w:val="tr-TR" w:eastAsia="en-US" w:bidi="ar-SA"/>
      </w:rPr>
    </w:lvl>
    <w:lvl w:ilvl="1" w:tplc="CA549170">
      <w:start w:val="1"/>
      <w:numFmt w:val="lowerLetter"/>
      <w:lvlText w:val="%2)"/>
      <w:lvlJc w:val="left"/>
      <w:pPr>
        <w:ind w:left="1829" w:hanging="356"/>
      </w:pPr>
      <w:rPr>
        <w:rFonts w:ascii="Times New Roman" w:eastAsia="Times New Roman" w:hAnsi="Times New Roman" w:cs="Times New Roman" w:hint="default"/>
        <w:b w:val="0"/>
        <w:bCs w:val="0"/>
        <w:i w:val="0"/>
        <w:iCs w:val="0"/>
        <w:spacing w:val="-1"/>
        <w:w w:val="100"/>
        <w:sz w:val="24"/>
        <w:szCs w:val="24"/>
        <w:lang w:val="tr-TR" w:eastAsia="en-US" w:bidi="ar-SA"/>
      </w:rPr>
    </w:lvl>
    <w:lvl w:ilvl="2" w:tplc="210E5E3A">
      <w:numFmt w:val="bullet"/>
      <w:lvlText w:val="•"/>
      <w:lvlJc w:val="left"/>
      <w:pPr>
        <w:ind w:left="2727" w:hanging="356"/>
      </w:pPr>
      <w:rPr>
        <w:rFonts w:hint="default"/>
        <w:lang w:val="tr-TR" w:eastAsia="en-US" w:bidi="ar-SA"/>
      </w:rPr>
    </w:lvl>
    <w:lvl w:ilvl="3" w:tplc="34DC3A0E">
      <w:numFmt w:val="bullet"/>
      <w:lvlText w:val="•"/>
      <w:lvlJc w:val="left"/>
      <w:pPr>
        <w:ind w:left="3634" w:hanging="356"/>
      </w:pPr>
      <w:rPr>
        <w:rFonts w:hint="default"/>
        <w:lang w:val="tr-TR" w:eastAsia="en-US" w:bidi="ar-SA"/>
      </w:rPr>
    </w:lvl>
    <w:lvl w:ilvl="4" w:tplc="A6B277AA">
      <w:numFmt w:val="bullet"/>
      <w:lvlText w:val="•"/>
      <w:lvlJc w:val="left"/>
      <w:pPr>
        <w:ind w:left="4542" w:hanging="356"/>
      </w:pPr>
      <w:rPr>
        <w:rFonts w:hint="default"/>
        <w:lang w:val="tr-TR" w:eastAsia="en-US" w:bidi="ar-SA"/>
      </w:rPr>
    </w:lvl>
    <w:lvl w:ilvl="5" w:tplc="2B1E7184">
      <w:numFmt w:val="bullet"/>
      <w:lvlText w:val="•"/>
      <w:lvlJc w:val="left"/>
      <w:pPr>
        <w:ind w:left="5449" w:hanging="356"/>
      </w:pPr>
      <w:rPr>
        <w:rFonts w:hint="default"/>
        <w:lang w:val="tr-TR" w:eastAsia="en-US" w:bidi="ar-SA"/>
      </w:rPr>
    </w:lvl>
    <w:lvl w:ilvl="6" w:tplc="757C883C">
      <w:numFmt w:val="bullet"/>
      <w:lvlText w:val="•"/>
      <w:lvlJc w:val="left"/>
      <w:pPr>
        <w:ind w:left="6356" w:hanging="356"/>
      </w:pPr>
      <w:rPr>
        <w:rFonts w:hint="default"/>
        <w:lang w:val="tr-TR" w:eastAsia="en-US" w:bidi="ar-SA"/>
      </w:rPr>
    </w:lvl>
    <w:lvl w:ilvl="7" w:tplc="110A0700">
      <w:numFmt w:val="bullet"/>
      <w:lvlText w:val="•"/>
      <w:lvlJc w:val="left"/>
      <w:pPr>
        <w:ind w:left="7264" w:hanging="356"/>
      </w:pPr>
      <w:rPr>
        <w:rFonts w:hint="default"/>
        <w:lang w:val="tr-TR" w:eastAsia="en-US" w:bidi="ar-SA"/>
      </w:rPr>
    </w:lvl>
    <w:lvl w:ilvl="8" w:tplc="E5662AFA">
      <w:numFmt w:val="bullet"/>
      <w:lvlText w:val="•"/>
      <w:lvlJc w:val="left"/>
      <w:pPr>
        <w:ind w:left="8171" w:hanging="356"/>
      </w:pPr>
      <w:rPr>
        <w:rFonts w:hint="default"/>
        <w:lang w:val="tr-TR" w:eastAsia="en-US" w:bidi="ar-SA"/>
      </w:rPr>
    </w:lvl>
  </w:abstractNum>
  <w:abstractNum w:abstractNumId="2" w15:restartNumberingAfterBreak="0">
    <w:nsid w:val="4F7B55A2"/>
    <w:multiLevelType w:val="hybridMultilevel"/>
    <w:tmpl w:val="03CA9522"/>
    <w:lvl w:ilvl="0" w:tplc="E4A6530C">
      <w:start w:val="1"/>
      <w:numFmt w:val="decimal"/>
      <w:lvlText w:val="(%1)"/>
      <w:lvlJc w:val="left"/>
      <w:pPr>
        <w:ind w:left="1469" w:hanging="360"/>
        <w:jc w:val="right"/>
      </w:pPr>
      <w:rPr>
        <w:rFonts w:ascii="Times New Roman" w:eastAsia="Times New Roman" w:hAnsi="Times New Roman" w:cs="Times New Roman" w:hint="default"/>
        <w:b w:val="0"/>
        <w:bCs w:val="0"/>
        <w:i w:val="0"/>
        <w:iCs w:val="0"/>
        <w:spacing w:val="0"/>
        <w:w w:val="100"/>
        <w:sz w:val="24"/>
        <w:szCs w:val="24"/>
        <w:lang w:val="tr-TR" w:eastAsia="en-US" w:bidi="ar-SA"/>
      </w:rPr>
    </w:lvl>
    <w:lvl w:ilvl="1" w:tplc="683669B8">
      <w:numFmt w:val="bullet"/>
      <w:lvlText w:val="•"/>
      <w:lvlJc w:val="left"/>
      <w:pPr>
        <w:ind w:left="2312" w:hanging="360"/>
      </w:pPr>
      <w:rPr>
        <w:rFonts w:hint="default"/>
        <w:lang w:val="tr-TR" w:eastAsia="en-US" w:bidi="ar-SA"/>
      </w:rPr>
    </w:lvl>
    <w:lvl w:ilvl="2" w:tplc="16841C8C">
      <w:numFmt w:val="bullet"/>
      <w:lvlText w:val="•"/>
      <w:lvlJc w:val="left"/>
      <w:pPr>
        <w:ind w:left="3165" w:hanging="360"/>
      </w:pPr>
      <w:rPr>
        <w:rFonts w:hint="default"/>
        <w:lang w:val="tr-TR" w:eastAsia="en-US" w:bidi="ar-SA"/>
      </w:rPr>
    </w:lvl>
    <w:lvl w:ilvl="3" w:tplc="8640ACCA">
      <w:numFmt w:val="bullet"/>
      <w:lvlText w:val="•"/>
      <w:lvlJc w:val="left"/>
      <w:pPr>
        <w:ind w:left="4017" w:hanging="360"/>
      </w:pPr>
      <w:rPr>
        <w:rFonts w:hint="default"/>
        <w:lang w:val="tr-TR" w:eastAsia="en-US" w:bidi="ar-SA"/>
      </w:rPr>
    </w:lvl>
    <w:lvl w:ilvl="4" w:tplc="4D0E7F00">
      <w:numFmt w:val="bullet"/>
      <w:lvlText w:val="•"/>
      <w:lvlJc w:val="left"/>
      <w:pPr>
        <w:ind w:left="4870" w:hanging="360"/>
      </w:pPr>
      <w:rPr>
        <w:rFonts w:hint="default"/>
        <w:lang w:val="tr-TR" w:eastAsia="en-US" w:bidi="ar-SA"/>
      </w:rPr>
    </w:lvl>
    <w:lvl w:ilvl="5" w:tplc="96B42204">
      <w:numFmt w:val="bullet"/>
      <w:lvlText w:val="•"/>
      <w:lvlJc w:val="left"/>
      <w:pPr>
        <w:ind w:left="5723" w:hanging="360"/>
      </w:pPr>
      <w:rPr>
        <w:rFonts w:hint="default"/>
        <w:lang w:val="tr-TR" w:eastAsia="en-US" w:bidi="ar-SA"/>
      </w:rPr>
    </w:lvl>
    <w:lvl w:ilvl="6" w:tplc="51548FC2">
      <w:numFmt w:val="bullet"/>
      <w:lvlText w:val="•"/>
      <w:lvlJc w:val="left"/>
      <w:pPr>
        <w:ind w:left="6575" w:hanging="360"/>
      </w:pPr>
      <w:rPr>
        <w:rFonts w:hint="default"/>
        <w:lang w:val="tr-TR" w:eastAsia="en-US" w:bidi="ar-SA"/>
      </w:rPr>
    </w:lvl>
    <w:lvl w:ilvl="7" w:tplc="A5AADC76">
      <w:numFmt w:val="bullet"/>
      <w:lvlText w:val="•"/>
      <w:lvlJc w:val="left"/>
      <w:pPr>
        <w:ind w:left="7428" w:hanging="360"/>
      </w:pPr>
      <w:rPr>
        <w:rFonts w:hint="default"/>
        <w:lang w:val="tr-TR" w:eastAsia="en-US" w:bidi="ar-SA"/>
      </w:rPr>
    </w:lvl>
    <w:lvl w:ilvl="8" w:tplc="42A2A21C">
      <w:numFmt w:val="bullet"/>
      <w:lvlText w:val="•"/>
      <w:lvlJc w:val="left"/>
      <w:pPr>
        <w:ind w:left="8281" w:hanging="360"/>
      </w:pPr>
      <w:rPr>
        <w:rFonts w:hint="default"/>
        <w:lang w:val="tr-TR" w:eastAsia="en-US" w:bidi="ar-SA"/>
      </w:rPr>
    </w:lvl>
  </w:abstractNum>
  <w:abstractNum w:abstractNumId="3" w15:restartNumberingAfterBreak="0">
    <w:nsid w:val="543A7EE5"/>
    <w:multiLevelType w:val="hybridMultilevel"/>
    <w:tmpl w:val="E45E96A0"/>
    <w:lvl w:ilvl="0" w:tplc="052262BC">
      <w:start w:val="2"/>
      <w:numFmt w:val="decimal"/>
      <w:lvlText w:val="(%1)"/>
      <w:lvlJc w:val="left"/>
      <w:pPr>
        <w:ind w:left="401" w:hanging="391"/>
        <w:jc w:val="right"/>
      </w:pPr>
      <w:rPr>
        <w:rFonts w:ascii="Times New Roman" w:eastAsia="Times New Roman" w:hAnsi="Times New Roman" w:cs="Times New Roman" w:hint="default"/>
        <w:b w:val="0"/>
        <w:bCs w:val="0"/>
        <w:i w:val="0"/>
        <w:iCs w:val="0"/>
        <w:spacing w:val="-1"/>
        <w:w w:val="100"/>
        <w:sz w:val="24"/>
        <w:szCs w:val="24"/>
        <w:lang w:val="tr-TR" w:eastAsia="en-US" w:bidi="ar-SA"/>
      </w:rPr>
    </w:lvl>
    <w:lvl w:ilvl="1" w:tplc="52E22C80">
      <w:start w:val="1"/>
      <w:numFmt w:val="lowerLetter"/>
      <w:lvlText w:val="%2)"/>
      <w:lvlJc w:val="left"/>
      <w:pPr>
        <w:ind w:left="1829" w:hanging="356"/>
      </w:pPr>
      <w:rPr>
        <w:rFonts w:ascii="Times New Roman" w:eastAsia="Times New Roman" w:hAnsi="Times New Roman" w:cs="Times New Roman" w:hint="default"/>
        <w:b w:val="0"/>
        <w:bCs w:val="0"/>
        <w:i w:val="0"/>
        <w:iCs w:val="0"/>
        <w:spacing w:val="-1"/>
        <w:w w:val="100"/>
        <w:sz w:val="24"/>
        <w:szCs w:val="24"/>
        <w:lang w:val="tr-TR" w:eastAsia="en-US" w:bidi="ar-SA"/>
      </w:rPr>
    </w:lvl>
    <w:lvl w:ilvl="2" w:tplc="A76C644E">
      <w:numFmt w:val="bullet"/>
      <w:lvlText w:val="•"/>
      <w:lvlJc w:val="left"/>
      <w:pPr>
        <w:ind w:left="2727" w:hanging="356"/>
      </w:pPr>
      <w:rPr>
        <w:rFonts w:hint="default"/>
        <w:lang w:val="tr-TR" w:eastAsia="en-US" w:bidi="ar-SA"/>
      </w:rPr>
    </w:lvl>
    <w:lvl w:ilvl="3" w:tplc="9698DE70">
      <w:numFmt w:val="bullet"/>
      <w:lvlText w:val="•"/>
      <w:lvlJc w:val="left"/>
      <w:pPr>
        <w:ind w:left="3634" w:hanging="356"/>
      </w:pPr>
      <w:rPr>
        <w:rFonts w:hint="default"/>
        <w:lang w:val="tr-TR" w:eastAsia="en-US" w:bidi="ar-SA"/>
      </w:rPr>
    </w:lvl>
    <w:lvl w:ilvl="4" w:tplc="EB281FD0">
      <w:numFmt w:val="bullet"/>
      <w:lvlText w:val="•"/>
      <w:lvlJc w:val="left"/>
      <w:pPr>
        <w:ind w:left="4542" w:hanging="356"/>
      </w:pPr>
      <w:rPr>
        <w:rFonts w:hint="default"/>
        <w:lang w:val="tr-TR" w:eastAsia="en-US" w:bidi="ar-SA"/>
      </w:rPr>
    </w:lvl>
    <w:lvl w:ilvl="5" w:tplc="CE7CF878">
      <w:numFmt w:val="bullet"/>
      <w:lvlText w:val="•"/>
      <w:lvlJc w:val="left"/>
      <w:pPr>
        <w:ind w:left="5449" w:hanging="356"/>
      </w:pPr>
      <w:rPr>
        <w:rFonts w:hint="default"/>
        <w:lang w:val="tr-TR" w:eastAsia="en-US" w:bidi="ar-SA"/>
      </w:rPr>
    </w:lvl>
    <w:lvl w:ilvl="6" w:tplc="DB1C454A">
      <w:numFmt w:val="bullet"/>
      <w:lvlText w:val="•"/>
      <w:lvlJc w:val="left"/>
      <w:pPr>
        <w:ind w:left="6356" w:hanging="356"/>
      </w:pPr>
      <w:rPr>
        <w:rFonts w:hint="default"/>
        <w:lang w:val="tr-TR" w:eastAsia="en-US" w:bidi="ar-SA"/>
      </w:rPr>
    </w:lvl>
    <w:lvl w:ilvl="7" w:tplc="B6C2DF8A">
      <w:numFmt w:val="bullet"/>
      <w:lvlText w:val="•"/>
      <w:lvlJc w:val="left"/>
      <w:pPr>
        <w:ind w:left="7264" w:hanging="356"/>
      </w:pPr>
      <w:rPr>
        <w:rFonts w:hint="default"/>
        <w:lang w:val="tr-TR" w:eastAsia="en-US" w:bidi="ar-SA"/>
      </w:rPr>
    </w:lvl>
    <w:lvl w:ilvl="8" w:tplc="6658C414">
      <w:numFmt w:val="bullet"/>
      <w:lvlText w:val="•"/>
      <w:lvlJc w:val="left"/>
      <w:pPr>
        <w:ind w:left="8171" w:hanging="356"/>
      </w:pPr>
      <w:rPr>
        <w:rFonts w:hint="default"/>
        <w:lang w:val="tr-TR"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FF2"/>
    <w:rsid w:val="00007EBA"/>
    <w:rsid w:val="000448B4"/>
    <w:rsid w:val="00095D5F"/>
    <w:rsid w:val="000A2E28"/>
    <w:rsid w:val="000A56AF"/>
    <w:rsid w:val="000E0062"/>
    <w:rsid w:val="00171ADB"/>
    <w:rsid w:val="001B0F21"/>
    <w:rsid w:val="001D184C"/>
    <w:rsid w:val="001E7825"/>
    <w:rsid w:val="002042C4"/>
    <w:rsid w:val="002407D4"/>
    <w:rsid w:val="002A2485"/>
    <w:rsid w:val="002A492B"/>
    <w:rsid w:val="002A7682"/>
    <w:rsid w:val="002B715D"/>
    <w:rsid w:val="00351BB2"/>
    <w:rsid w:val="00356A2E"/>
    <w:rsid w:val="00386CCC"/>
    <w:rsid w:val="003C6AF4"/>
    <w:rsid w:val="004D5767"/>
    <w:rsid w:val="004D5887"/>
    <w:rsid w:val="00500DD1"/>
    <w:rsid w:val="00520FEB"/>
    <w:rsid w:val="0056227F"/>
    <w:rsid w:val="005922F0"/>
    <w:rsid w:val="005B7C14"/>
    <w:rsid w:val="00604676"/>
    <w:rsid w:val="00673F1F"/>
    <w:rsid w:val="006B0064"/>
    <w:rsid w:val="00702B4F"/>
    <w:rsid w:val="007035F0"/>
    <w:rsid w:val="00757E09"/>
    <w:rsid w:val="00762575"/>
    <w:rsid w:val="007C6457"/>
    <w:rsid w:val="007D75D5"/>
    <w:rsid w:val="007F2776"/>
    <w:rsid w:val="0083275E"/>
    <w:rsid w:val="008A2D42"/>
    <w:rsid w:val="008A40C9"/>
    <w:rsid w:val="009260A0"/>
    <w:rsid w:val="00953DF9"/>
    <w:rsid w:val="009723C7"/>
    <w:rsid w:val="009A10D5"/>
    <w:rsid w:val="009A4AFF"/>
    <w:rsid w:val="009A6F17"/>
    <w:rsid w:val="009C629D"/>
    <w:rsid w:val="009D0380"/>
    <w:rsid w:val="009E1FF2"/>
    <w:rsid w:val="00A72B97"/>
    <w:rsid w:val="00A91C9C"/>
    <w:rsid w:val="00AC6642"/>
    <w:rsid w:val="00AD7E96"/>
    <w:rsid w:val="00AE1BF6"/>
    <w:rsid w:val="00B00CBF"/>
    <w:rsid w:val="00B10B1F"/>
    <w:rsid w:val="00B11CB6"/>
    <w:rsid w:val="00B33046"/>
    <w:rsid w:val="00B7286C"/>
    <w:rsid w:val="00BF76E0"/>
    <w:rsid w:val="00C04F1D"/>
    <w:rsid w:val="00C151F1"/>
    <w:rsid w:val="00C20D4D"/>
    <w:rsid w:val="00C55048"/>
    <w:rsid w:val="00C7339C"/>
    <w:rsid w:val="00CD4362"/>
    <w:rsid w:val="00DF1D20"/>
    <w:rsid w:val="00E44074"/>
    <w:rsid w:val="00E56258"/>
    <w:rsid w:val="00E81CAE"/>
    <w:rsid w:val="00EF1A9A"/>
    <w:rsid w:val="00F5331F"/>
    <w:rsid w:val="00F80897"/>
    <w:rsid w:val="00F81408"/>
    <w:rsid w:val="00F9626D"/>
    <w:rsid w:val="00FE7A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B472E"/>
  <w15:docId w15:val="{F8835706-9C40-40EA-8891-73CE2630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109"/>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240"/>
      <w:ind w:left="117" w:hanging="360"/>
      <w:jc w:val="both"/>
    </w:pPr>
  </w:style>
  <w:style w:type="paragraph" w:customStyle="1" w:styleId="TableParagraph">
    <w:name w:val="Table Paragraph"/>
    <w:basedOn w:val="Normal"/>
    <w:uiPriority w:val="1"/>
    <w:qFormat/>
  </w:style>
  <w:style w:type="table" w:styleId="TabloKlavuzu">
    <w:name w:val="Table Grid"/>
    <w:basedOn w:val="NormalTablo"/>
    <w:uiPriority w:val="39"/>
    <w:rsid w:val="001D1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1855</Words>
  <Characters>10576</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HP</cp:lastModifiedBy>
  <cp:revision>5</cp:revision>
  <dcterms:created xsi:type="dcterms:W3CDTF">2024-09-23T08:20:00Z</dcterms:created>
  <dcterms:modified xsi:type="dcterms:W3CDTF">2024-09-24T07:18:00Z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2021-06-04T00:00:00Z</vt:filetime>
  </property>
  <property fmtid="{D5CDD505-2E9C-101B-9397-08002B2CF9AE}" pid="3" name="Creator">
    <vt:lpwstr>Microsoft® Word 2019</vt:lpwstr>
  </property>
  <property fmtid="{D5CDD505-2E9C-101B-9397-08002B2CF9AE}" pid="4" name="LastSaved">
    <vt:filetime>2024-07-25T00:00:00Z</vt:filetime>
  </property>
  <property fmtid="{D5CDD505-2E9C-101B-9397-08002B2CF9AE}" pid="5" name="Producer">
    <vt:lpwstr>Microsoft® Word 2019</vt:lpwstr>
  </property>
</Properties>
</file>